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ypt-20260630.htm"/>
      <w:bookmarkStart w:id="1" w:name="kseypt202606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30"/>
        </w:rPr>
      </w:pPr>
      <w:r>
        <w:rPr>
          <w:rFonts w:ascii="Times New Roman" w:hAnsi="Times New Roman"/>
          <w:b/>
          <w:color w:val="000000"/>
          <w:sz w:val="30"/>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Heading2"/>
        <w:bidi w:val="0"/>
        <w:spacing w:before="360" w:after="120"/>
        <w:jc w:val="center"/>
        <w:rPr/>
      </w:pPr>
      <w:r>
        <w:rPr>
          <w:color w:val="000000"/>
        </w:rPr>
        <w:t xml:space="preserve">☐ </w:t>
      </w:r>
      <w:r>
        <w:rPr>
          <w:rFonts w:ascii="Times New Roman" w:hAnsi="Times New Roman"/>
          <w:color w:val="000000"/>
          <w:sz w:val="20"/>
        </w:rPr>
        <w:t>TRANSITION REPORT PURSUANT TO SECTION 13 OR 15(d) OF THE SECURITIES EXCHANGE ACT OF 1934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transition period from _______ to _______</w:t>
      </w:r>
    </w:p>
    <w:p>
      <w:pPr>
        <w:pStyle w:val="TextBody"/>
        <w:bidi w:val="0"/>
        <w:spacing w:before="160" w:after="283"/>
        <w:jc w:val="center"/>
        <w:rPr>
          <w:rFonts w:ascii="Times New Roman" w:hAnsi="Times New Roman"/>
          <w:b/>
          <w:color w:val="000000"/>
          <w:sz w:val="16"/>
        </w:rPr>
      </w:pPr>
      <w:r>
        <w:rPr>
          <w:rFonts w:ascii="Times New Roman" w:hAnsi="Times New Roman"/>
          <w:b/>
          <w:color w:val="000000"/>
          <w:sz w:val="16"/>
        </w:rPr>
        <w:t>COMMISSION FILE NUMBER 000-51122</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EyePoint,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3301"/>
        <w:gridCol w:w="146"/>
        <w:gridCol w:w="165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26-2774444</w:t>
            </w:r>
          </w:p>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480 Pleasant Street</w:t>
            </w:r>
          </w:p>
          <w:p>
            <w:pPr>
              <w:pStyle w:val="TableContents"/>
              <w:bidi w:val="0"/>
              <w:jc w:val="center"/>
              <w:rPr>
                <w:rFonts w:ascii="Times New Roman" w:hAnsi="Times New Roman"/>
                <w:b/>
                <w:color w:val="000000"/>
                <w:sz w:val="20"/>
              </w:rPr>
            </w:pPr>
            <w:r>
              <w:rPr>
                <w:rFonts w:ascii="Times New Roman" w:hAnsi="Times New Roman"/>
                <w:b/>
                <w:color w:val="000000"/>
                <w:sz w:val="20"/>
              </w:rPr>
              <w:t>Watertown, MA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02472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(617) 926-5000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528" w:type="dxa"/>
        <w:jc w:val="left"/>
        <w:tblInd w:w="0" w:type="dxa"/>
        <w:tblLayout w:type="fixed"/>
        <w:tblCellMar>
          <w:top w:w="28" w:type="dxa"/>
          <w:left w:w="28" w:type="dxa"/>
          <w:bottom w:w="28" w:type="dxa"/>
          <w:right w:w="28" w:type="dxa"/>
        </w:tblCellMar>
      </w:tblPr>
      <w:tblGrid>
        <w:gridCol w:w="2476"/>
        <w:gridCol w:w="826"/>
        <w:gridCol w:w="3226"/>
      </w:tblGrid>
      <w:tr>
        <w:trPr/>
        <w:tc>
          <w:tcPr>
            <w:tcW w:w="24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Trading</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4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EYPT</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6"/>
        </w:rPr>
        <w:t>Yes</w:t>
      </w:r>
      <w:r>
        <w:rPr>
          <w:rFonts w:ascii="Times New Roman" w:hAnsi="Times New Roman"/>
          <w:color w:val="000000"/>
          <w:sz w:val="20"/>
        </w:rPr>
        <w:t xml:space="preserve"> ☒ </w:t>
      </w:r>
      <w:r>
        <w:rPr>
          <w:rFonts w:ascii="Times New Roman" w:hAnsi="Times New Roman"/>
          <w:b/>
          <w:color w:val="000000"/>
          <w:sz w:val="16"/>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Times New Roman" w:hAnsi="Times New Roman"/>
          <w:color w:val="000000"/>
          <w:sz w:val="20"/>
        </w:rPr>
        <w:t xml:space="preserve"> </w:t>
      </w:r>
      <w:r>
        <w:rPr>
          <w:rFonts w:ascii="Times New Roman" w:hAnsi="Times New Roman"/>
          <w:b/>
          <w:color w:val="000000"/>
          <w:sz w:val="16"/>
        </w:rPr>
        <w:t>Yes</w:t>
      </w:r>
      <w:r>
        <w:rPr>
          <w:rFonts w:ascii="Times New Roman" w:hAnsi="Times New Roman"/>
          <w:color w:val="000000"/>
          <w:sz w:val="20"/>
        </w:rPr>
        <w:t xml:space="preserve"> ☒ </w:t>
      </w:r>
      <w:r>
        <w:rPr>
          <w:rFonts w:ascii="Times New Roman" w:hAnsi="Times New Roman"/>
          <w:b/>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1711"/>
        <w:gridCol w:w="316"/>
        <w:gridCol w:w="146"/>
        <w:gridCol w:w="202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b/>
          <w:color w:val="000000"/>
          <w:sz w:val="16"/>
        </w:rPr>
        <w:t xml:space="preserve">Yes </w:t>
      </w:r>
      <w:r>
        <w:rPr>
          <w:rFonts w:ascii="Times New Roman" w:hAnsi="Times New Roman"/>
          <w:color w:val="000000"/>
          <w:sz w:val="20"/>
        </w:rPr>
        <w:t xml:space="preserve">☐ </w:t>
      </w:r>
      <w:r>
        <w:rPr>
          <w:rFonts w:ascii="Times New Roman" w:hAnsi="Times New Roman"/>
          <w:b/>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There were 86,212,138</w:t>
      </w:r>
      <w:r>
        <w:rPr>
          <w:rFonts w:ascii="Times New Roman" w:hAnsi="Times New Roman"/>
          <w:color w:val="000000"/>
          <w:sz w:val="20"/>
        </w:rPr>
        <w:t xml:space="preserve"> </w:t>
      </w:r>
      <w:r>
        <w:rPr>
          <w:rFonts w:ascii="Times New Roman" w:hAnsi="Times New Roman"/>
          <w:color w:val="000000"/>
          <w:sz w:val="16"/>
        </w:rPr>
        <w:t>shares of the registrant’s common stock, $0.001 par value, outstanding as of July 31, 2026.</w:t>
      </w:r>
    </w:p>
    <w:p>
      <w:pPr>
        <w:pStyle w:val="TextBody"/>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INDEX TO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146"/>
        <w:gridCol w:w="8577"/>
        <w:gridCol w:w="146"/>
        <w:gridCol w:w="572"/>
      </w:tblGrid>
      <w:tr>
        <w:trPr/>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487"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1_unaudited_financial_statements">
              <w:r>
                <w:rPr>
                  <w:rStyle w:val="InternetLink"/>
                  <w:rFonts w:ascii="Times New Roman" w:hAnsi="Times New Roman"/>
                  <w:b/>
                  <w:color w:val="0000FF"/>
                  <w:sz w:val="20"/>
                  <w:u w:val="single"/>
                </w:rPr>
                <w:t>Unaudited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80"/>
                  <w:sz w:val="20"/>
                  <w:u w:val="single"/>
                </w:rPr>
                <w:t>Condensed Consolidated Statements of Operations and Comprehensive Loss –</w:t>
              </w:r>
            </w:hyperlink>
            <w:hyperlink w:anchor="condensed_consolidated_statements_compre">
              <w:r>
                <w:rPr>
                  <w:rStyle w:val="InternetLink"/>
                  <w:rFonts w:ascii="Times New Roman" w:hAnsi="Times New Roman"/>
                  <w:color w:val="000080"/>
                  <w:sz w:val="20"/>
                  <w:u w:val="single"/>
                </w:rP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80"/>
                  <w:sz w:val="20"/>
                  <w:u w:val="single"/>
                </w:rPr>
                <w:t>Condensed Consolidated Statements of Cash Flows –</w:t>
              </w:r>
            </w:hyperlink>
            <w:hyperlink w:anchor="condensed_consolidated_statements_compre">
              <w:r>
                <w:rPr>
                  <w:rStyle w:val="InternetLink"/>
                  <w:rFonts w:ascii="Times New Roman" w:hAnsi="Times New Roman"/>
                  <w:color w:val="000080"/>
                  <w:sz w:val="20"/>
                  <w:u w:val="single"/>
                </w:rPr>
                <w:t xml:space="preserv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7"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00" w:after="283"/>
        <w:jc w:val="left"/>
        <w:rPr>
          <w:rFonts w:ascii="Times New Roman" w:hAnsi="Times New Roman"/>
          <w:b/>
          <w:color w:val="000000"/>
          <w:sz w:val="20"/>
        </w:rPr>
      </w:pPr>
      <w:bookmarkStart w:id="3" w:name="item_1_unaudited_financial_statements"/>
      <w:bookmarkEnd w:id="3"/>
      <w:r>
        <w:rPr>
          <w:rFonts w:ascii="Times New Roman" w:hAnsi="Times New Roman"/>
          <w:b/>
          <w:color w:val="000000"/>
          <w:sz w:val="20"/>
        </w:rPr>
        <w:t>Item 1. Unaudited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146"/>
        <w:gridCol w:w="211"/>
        <w:gridCol w:w="991"/>
        <w:gridCol w:w="166"/>
        <w:gridCol w:w="146"/>
        <w:gridCol w:w="216"/>
        <w:gridCol w:w="1015"/>
        <w:gridCol w:w="592"/>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and other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363,996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5,000,000 shares authorized, no shares</w:t>
              <w:br/>
              <w:t>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300,000,000 shares authorized at June 30, 2026</w:t>
              <w:br/>
              <w:t>   and December 31, 2025; 84,981,843 and 82,826,416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1,410,047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(1,104,978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306,113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363,996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9652" w:type="dxa"/>
        <w:jc w:val="left"/>
        <w:tblInd w:w="0" w:type="dxa"/>
        <w:tblLayout w:type="fixed"/>
        <w:tblCellMar>
          <w:top w:w="28" w:type="dxa"/>
          <w:left w:w="28" w:type="dxa"/>
          <w:bottom w:w="28" w:type="dxa"/>
          <w:right w:w="28" w:type="dxa"/>
        </w:tblCellMar>
      </w:tblPr>
      <w:tblGrid>
        <w:gridCol w:w="3961"/>
        <w:gridCol w:w="146"/>
        <w:gridCol w:w="211"/>
        <w:gridCol w:w="736"/>
        <w:gridCol w:w="166"/>
        <w:gridCol w:w="146"/>
        <w:gridCol w:w="211"/>
        <w:gridCol w:w="736"/>
        <w:gridCol w:w="166"/>
        <w:gridCol w:w="146"/>
        <w:gridCol w:w="211"/>
        <w:gridCol w:w="841"/>
        <w:gridCol w:w="166"/>
        <w:gridCol w:w="146"/>
        <w:gridCol w:w="211"/>
        <w:gridCol w:w="841"/>
        <w:gridCol w:w="6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4"/>
        <w:gridCol w:w="146"/>
        <w:gridCol w:w="916"/>
        <w:gridCol w:w="146"/>
        <w:gridCol w:w="146"/>
        <w:gridCol w:w="282"/>
        <w:gridCol w:w="500"/>
        <w:gridCol w:w="146"/>
        <w:gridCol w:w="146"/>
        <w:gridCol w:w="196"/>
        <w:gridCol w:w="826"/>
        <w:gridCol w:w="166"/>
        <w:gridCol w:w="146"/>
        <w:gridCol w:w="203"/>
        <w:gridCol w:w="923"/>
        <w:gridCol w:w="166"/>
        <w:gridCol w:w="146"/>
        <w:gridCol w:w="446"/>
        <w:gridCol w:w="860"/>
        <w:gridCol w:w="166"/>
        <w:gridCol w:w="146"/>
        <w:gridCol w:w="258"/>
        <w:gridCol w:w="913"/>
        <w:gridCol w:w="212"/>
      </w:tblGrid>
      <w:tr>
        <w:trPr/>
        <w:tc>
          <w:tcPr>
            <w:tcW w:w="2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 Value</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298,396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units granted, net of units withheld for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68,889,649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246,009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83,453,001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net of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units granted, net of units withheld for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84,981,843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166,411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4"/>
        <w:gridCol w:w="146"/>
        <w:gridCol w:w="916"/>
        <w:gridCol w:w="146"/>
        <w:gridCol w:w="146"/>
        <w:gridCol w:w="282"/>
        <w:gridCol w:w="500"/>
        <w:gridCol w:w="146"/>
        <w:gridCol w:w="146"/>
        <w:gridCol w:w="196"/>
        <w:gridCol w:w="826"/>
        <w:gridCol w:w="166"/>
        <w:gridCol w:w="146"/>
        <w:gridCol w:w="203"/>
        <w:gridCol w:w="923"/>
        <w:gridCol w:w="166"/>
        <w:gridCol w:w="146"/>
        <w:gridCol w:w="361"/>
        <w:gridCol w:w="945"/>
        <w:gridCol w:w="166"/>
        <w:gridCol w:w="146"/>
        <w:gridCol w:w="242"/>
        <w:gridCol w:w="929"/>
        <w:gridCol w:w="212"/>
      </w:tblGrid>
      <w:tr>
        <w:trPr/>
        <w:tc>
          <w:tcPr>
            <w:tcW w:w="2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 Value</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336,501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68,889,649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246,009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82,826,416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(179,302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net of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units granted, net of units withheld for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84,981,843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166,411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196"/>
        <w:gridCol w:w="751"/>
        <w:gridCol w:w="166"/>
        <w:gridCol w:w="146"/>
        <w:gridCol w:w="196"/>
        <w:gridCol w:w="751"/>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cash flows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equity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Amortization of debt discount and premium and discount on </w:t>
              <w:br/>
              <w:t>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Right-of-use assets and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(93,368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equity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equity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settlement of stock units to satisfy statutory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(28,561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additions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issuance costs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EyePoint, Inc., a Delaware corporation (together with its subsidiaries, the Company), as of June 30, 2026 and for the three and six months ended June 30, 2026 and 2025 are unaudited. Certain information in the footnote disclosures of these financial statements has been condensed or omitted in accordance with the rules and regulations of the Securities and Exchange Commission. These financial statements should be read in conjunction with the Company’s audited consolidated financial statements and footnotes included in the Company’s Annual Report on Form 10-K for the year ended December 31, 2025. In the opinion of management, these statements have been prepared on the same basis as the audited consolidated financial statements as of and for the year ended December 31, 2025, and include all adjustments, consisting only of normal recurring adjustments, that are necessary for the fair presentation of the Company’s financial position, results of operations, and cash flows for the periods indicated. The preparation of financial statements in accordance with United States (U.S.) generally accepted accounting principles requires management to make assumptions and estimates that affect, among other things, (i) reported amounts of assets and liabilities; (ii) disclosure of contingent assets and liabilities at the date of the condensed consolidated financial statements; and (iii) reported amounts of revenues and expenses during the reporting period. The results of operations for the three and six months ended June 30, 2026 are not necessarily indicative of the results that may be expected for the entire 2026 fiscal year or any future period.</w:t>
      </w:r>
    </w:p>
    <w:p>
      <w:pPr>
        <w:pStyle w:val="TextBody"/>
        <w:bidi w:val="0"/>
        <w:spacing w:before="200" w:after="283"/>
        <w:jc w:val="left"/>
        <w:rPr>
          <w:rFonts w:ascii="Times New Roman" w:hAnsi="Times New Roman"/>
          <w:sz w:val="20"/>
        </w:rPr>
      </w:pPr>
      <w:r>
        <w:rPr>
          <w:rFonts w:ascii="Times New Roman" w:hAnsi="Times New Roman"/>
          <w:color w:val="000000"/>
          <w:sz w:val="20"/>
        </w:rPr>
        <w:t>The Company is committed to developing and commercializing innovative therapeutics to help improve the lives of patients with serious retinal diseases. The Company's pipeline leverages its proprietary bioerodible Durasert E technology (Durasert E) for sustained intraocular drug delivery. The Company’s lead product candidate, DURAVYU</w:t>
      </w:r>
      <w:r>
        <w:rPr>
          <w:rFonts w:ascii="Times New Roman" w:hAnsi="Times New Roman"/>
          <w:color w:val="000000"/>
          <w:sz w:val="13"/>
        </w:rPr>
        <w:t>1</w:t>
      </w:r>
      <w:r>
        <w:rPr>
          <w:rFonts w:ascii="Times New Roman" w:hAnsi="Times New Roman"/>
          <w:color w:val="000000"/>
          <w:sz w:val="20"/>
        </w:rPr>
        <w:t xml:space="preserve"> (a/k/a EYP-1901), is an investigational sustained delivery treatment for vascular endothelial growth factor (VEGF) mediated retinal diseases combining vorolanib, a selective and patent-protected tyrosine kinase inhibitor (TKI) with Durasert E. DURAVYU is currently being evaluated in Phase 3 pivotal trials (LUGANO and LUCIA) for wet age-related macular degeneration (wet AMD) with initial data readout expected in August 2026. Pivotal Phase 3 clinical trials (COMO and CAPRI) in diabetic macular edema (DME) dosed first patients in February 2026, and enrollment completion was announced in July 2026. The initial data readout for the DME program is expected in the fourth quarter of 2027. EyePoint is headquartered in Watertown, Massachusetts and has a commercial manufacturing facility in Northbridge, Massachusetts.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plans to identify and advance additional product candidates through clinical development for its pipeline. This may be accomplished through internal discovery efforts, research collaborations and/or in-licensing arrangements and potential acquisitions of additional products, product candidates or technologies.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had cash, cash equivalents and investments in marketable securities of $180.5 million at June 30, 2026. The Company has a history of operating losses and has not had significant recurring cash inflows from revenue. The Company’s operations have been financed primarily from sales of its equity securities, issuance of debt and a combination of license fees, milestone payments, royalty income, and other consideration received from its collaboration partners. The Company believes that its cash, cash equivalents and investments in marketable securities of $180.5 million at June 30, 2026 will enable the Company to fund its current and planned operations for at least the next twelve months from the date these consolidated financial statements were issued. Actual cash requirements could differ from management’s projections due to many factors, including the timing and results of the Company’s clinical trials for DURAVYU, additional investments in research and development programs, competing technological and market developments, and the costs of any strategic acquisitions and/or development of complementary business opportunities.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anticipates that it will continue to incur losses as it continues the research and development of its product candidates, and the Company does not expect revenues to generate sufficient funding to sustain its operations in the near-term. The Company expects to continue fulfilling its funding needs through cash inflows from licensing and research collaboration transactions, additional equity capital raises and other arrangements. The Company may not be able to obtain financing on acceptable terms, or at all, and the Company may not be able to enter into collaborative arrangements. If the Company is unable to obtain funding, the Company could be forced to delay, reduce or eliminate some or all of its research and development programs, including its clinical trials, pipeline expansion or commercialization efforts, which could adversely affect its business prospects. Although management will continue to pursue these plans, there is no assurance that the Company will be successful in obtaining sufficient funding in the future on terms acceptable to the Company to fund continuing operations when needed or at all.</w:t>
      </w:r>
    </w:p>
    <w:p>
      <w:pPr>
        <w:pStyle w:val="TextBody"/>
        <w:bidi w:val="0"/>
        <w:spacing w:before="200" w:after="283"/>
        <w:jc w:val="left"/>
        <w:rPr>
          <w:rFonts w:ascii="Times New Roman" w:hAnsi="Times New Roman"/>
          <w:i/>
          <w:color w:val="000000"/>
          <w:sz w:val="16"/>
        </w:rPr>
      </w:pPr>
      <w:r>
        <w:rPr>
          <w:rFonts w:ascii="Times New Roman" w:hAnsi="Times New Roman"/>
          <w:i/>
          <w:color w:val="000000"/>
          <w:sz w:val="16"/>
        </w:rPr>
        <w:t>1. DURAVYU has been conditionally accepted by the FDA as the proprietary name for EYP-1901. DURAVYU is an investigational product candidate; it has not been approved by the FDA. FDA approval and the timeline for potential approval is uncertain.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the SEC, on March 5, 2026, or the 2025 Form 10-K. Since the date of those financial statements, there have been no material changes to the Company's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In November 2024, the FASB issued ASU 2024-03—</w:t>
      </w:r>
      <w:r>
        <w:rPr>
          <w:rFonts w:ascii="Times New Roman" w:hAnsi="Times New Roman"/>
          <w:i/>
          <w:color w:val="000000"/>
          <w:sz w:val="20"/>
        </w:rPr>
        <w:t>Income Statement —Reporting Comprehensive Income —Expense Disaggregation Disclosures (Subtopic 220-40): Disaggregation of Income Statement Expenses.</w:t>
      </w:r>
      <w:r>
        <w:rPr>
          <w:rFonts w:ascii="Times New Roman" w:hAnsi="Times New Roman"/>
          <w:color w:val="000000"/>
          <w:sz w:val="20"/>
        </w:rPr>
        <w:t xml:space="preserve">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The Company is currently evaluating the impact of adopting this ASU on its consolidated financial statements and disclosures.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Improvements to Interim Disclosure Requirements</w:t>
      </w:r>
      <w:r>
        <w:rPr>
          <w:rFonts w:ascii="Times New Roman" w:hAnsi="Times New Roman"/>
          <w:color w:val="000000"/>
          <w:sz w:val="20"/>
        </w:rPr>
        <w:t>, which clarifies disclosure requirements for interim financial statements. The ASU is effective for interim reporting periods beginning after December 15, 2027, with early adoption permitted. The Company is currently evaluating the impact of adopting this ASU on its consolidated financial statements and disclosures.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Codification Improvements</w:t>
      </w:r>
      <w:r>
        <w:rPr>
          <w:rFonts w:ascii="Times New Roman" w:hAnsi="Times New Roman"/>
          <w:color w:val="000000"/>
          <w:sz w:val="20"/>
        </w:rPr>
        <w:t>, which includes targeted amendments to clarify, correct, and improve various aspects of the FASB Accounting Standards Codification. The ASU is effective for annual periods beginning after December 15, 2026, and interim periods within those annual reporting periods, with early adoption permitted. The Company is currently evaluating the impact of adopting this ASU on its consolidated financial statements and disclosures.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License and Collaboration Agreements and Royalty Income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ANI Product Rights Agreement (PRA) and Commercial Supply Agreement</w:t>
      </w:r>
    </w:p>
    <w:p>
      <w:pPr>
        <w:pStyle w:val="TextBody"/>
        <w:bidi w:val="0"/>
        <w:spacing w:before="200" w:after="200"/>
        <w:jc w:val="left"/>
        <w:rPr>
          <w:rFonts w:ascii="Times New Roman" w:hAnsi="Times New Roman"/>
          <w:sz w:val="20"/>
        </w:rPr>
      </w:pPr>
      <w:r>
        <w:rPr>
          <w:rFonts w:ascii="Times New Roman" w:hAnsi="Times New Roman"/>
          <w:color w:val="000000"/>
          <w:sz w:val="20"/>
        </w:rPr>
        <w:t>On May 17, 2023, the Company entered into a PRA with ANI Pharmaceuticals, Inc. (ANI). Under the PRA, the Company granted to ANI an exclusive and sublicensable right and license (the License) under the Company’s and its affiliates’ interest in certain of the Company’s and its affiliates’ intellectual property to develop, manufacture, sell, commercialize, and otherwise exploit certain products, including YUTIQ</w:t>
      </w:r>
      <w:r>
        <w:rPr>
          <w:rFonts w:ascii="Times New Roman" w:hAnsi="Times New Roman"/>
          <w:color w:val="000000"/>
          <w:sz w:val="13"/>
        </w:rPr>
        <w:t>®</w:t>
      </w:r>
      <w:r>
        <w:rPr>
          <w:rFonts w:ascii="Times New Roman" w:hAnsi="Times New Roman"/>
          <w:color w:val="000000"/>
          <w:sz w:val="20"/>
        </w:rPr>
        <w:t>, for the treatment and prevention of uveitis in the entire world except Europe, the Middle East and Africa (EMEA).</w:t>
      </w:r>
    </w:p>
    <w:p>
      <w:pPr>
        <w:pStyle w:val="TextBody"/>
        <w:bidi w:val="0"/>
        <w:spacing w:before="0" w:after="200"/>
        <w:jc w:val="left"/>
        <w:rPr>
          <w:rFonts w:ascii="Times New Roman" w:hAnsi="Times New Roman"/>
          <w:sz w:val="20"/>
        </w:rPr>
      </w:pPr>
      <w:r>
        <w:rPr>
          <w:rFonts w:ascii="Times New Roman" w:hAnsi="Times New Roman"/>
          <w:color w:val="000000"/>
          <w:sz w:val="20"/>
        </w:rPr>
        <w:t>Additionally, pursuant to the PRA, the Company transferred and assigned to ANI certain assets and certain contracts with third parties related to YUTIQ</w:t>
      </w:r>
      <w:r>
        <w:rPr>
          <w:rFonts w:ascii="Times New Roman" w:hAnsi="Times New Roman"/>
          <w:color w:val="000000"/>
          <w:sz w:val="13"/>
        </w:rPr>
        <w:t>®</w:t>
      </w:r>
      <w:r>
        <w:rPr>
          <w:rFonts w:ascii="Times New Roman" w:hAnsi="Times New Roman"/>
          <w:color w:val="000000"/>
          <w:sz w:val="20"/>
        </w:rPr>
        <w:t>, including the new drug application for YUTIQ</w:t>
      </w:r>
      <w:r>
        <w:rPr>
          <w:rFonts w:ascii="Times New Roman" w:hAnsi="Times New Roman"/>
          <w:color w:val="000000"/>
          <w:sz w:val="13"/>
        </w:rPr>
        <w:t>®</w:t>
      </w:r>
      <w:r>
        <w:rPr>
          <w:rFonts w:ascii="Times New Roman" w:hAnsi="Times New Roman"/>
          <w:color w:val="000000"/>
          <w:sz w:val="20"/>
        </w:rPr>
        <w:t xml:space="preserve"> (collectively, the Asset Transfer). Pursuant to the PRA, ANI paid the Company a $75.0 million upfront payment (the Upfront Payment). ANI also made four quarterly payments of $1.875 million to the Company totaling $7.5 million during 2024. ANI will also pay royalties to the Company from 2025 to 2028 at a percentage of low-to-mid double digits of ANI’s related U.S. annual net sales of certain products (including YUTIQ</w:t>
      </w:r>
      <w:r>
        <w:rPr>
          <w:rFonts w:ascii="Times New Roman" w:hAnsi="Times New Roman"/>
          <w:color w:val="000000"/>
          <w:sz w:val="13"/>
        </w:rPr>
        <w:t>®</w:t>
      </w:r>
      <w:r>
        <w:rPr>
          <w:rFonts w:ascii="Times New Roman" w:hAnsi="Times New Roman"/>
          <w:color w:val="000000"/>
          <w:sz w:val="20"/>
        </w:rPr>
        <w:t>) in excess of certain thresholds, beginning at $70 million in 2025, and increasing annually thereafter. Upon ANI’s payment of the Upfront Payment and the 2024 quarterly payments, the licenses and rights granted to ANI automatically became perpetual and irrevocable. Payments received from ANI are non-refundable.</w:t>
      </w:r>
    </w:p>
    <w:p>
      <w:pPr>
        <w:pStyle w:val="TextBody"/>
        <w:bidi w:val="0"/>
        <w:spacing w:before="0" w:after="200"/>
        <w:jc w:val="left"/>
        <w:rPr>
          <w:rFonts w:ascii="Times New Roman" w:hAnsi="Times New Roman"/>
          <w:sz w:val="20"/>
        </w:rPr>
      </w:pPr>
      <w:r>
        <w:rPr>
          <w:rFonts w:ascii="Times New Roman" w:hAnsi="Times New Roman"/>
          <w:color w:val="000000"/>
          <w:sz w:val="20"/>
        </w:rPr>
        <w:t>The Company and ANI also entered into a commercial supply agreement (CSA), pursuant to which, during the term of the PRA, the Company agreed to manufacture and exclusively supply to ANI agreed-upon quantities of YUTIQ</w:t>
      </w:r>
      <w:r>
        <w:rPr>
          <w:rFonts w:ascii="Times New Roman" w:hAnsi="Times New Roman"/>
          <w:color w:val="000000"/>
          <w:sz w:val="13"/>
        </w:rPr>
        <w:t>®</w:t>
      </w:r>
      <w:r>
        <w:rPr>
          <w:rFonts w:ascii="Times New Roman" w:hAnsi="Times New Roman"/>
          <w:color w:val="000000"/>
          <w:sz w:val="20"/>
        </w:rPr>
        <w:t xml:space="preserve"> necessary for ANI to commercialize YUTIQ</w:t>
      </w:r>
      <w:r>
        <w:rPr>
          <w:rFonts w:ascii="Times New Roman" w:hAnsi="Times New Roman"/>
          <w:color w:val="000000"/>
          <w:sz w:val="13"/>
        </w:rPr>
        <w:t>®</w:t>
      </w:r>
      <w:r>
        <w:rPr>
          <w:rFonts w:ascii="Times New Roman" w:hAnsi="Times New Roman"/>
          <w:color w:val="000000"/>
          <w:sz w:val="20"/>
        </w:rPr>
        <w:t xml:space="preserve"> in the United States at certain cost plus amounts, subject to adjustments and potential extensions and terminations set forth in the CSA. The CSA with ANI automatically terminated on May 31, 2025.</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from sales of product supply to ANI under the CSA was $0 during the three and six months ended June 30, 2026, respectively and $0 and $0.6 million during the three and six months ended June 30, 2025, respectively. License and Collaboration revenue related to the PRA was $0 during the three and six months ended June 30, 2026, respectively and $5.1 million and $15.9 million during the three and six months ended June 30, 2025, respectively. License and collaboration revenue, related to additional transitional services was $0.1 million for the three and six months ended June 30, 2026, respectively and $0.2 million and $0.4 million during the three and six months ended June 30,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Ocumension Therapeutics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entered into an Exclusive License Agreement on November 2, 2018, as amended by a Memorandum of Understanding dated March 1, 2019, a Memorandum of Understanding dated August 18, 2020, a Supply and Quality Agreement on February 19, 2019 and a Memorandum of Understanding on August 26, 2024. Pursuant to the license agreement and Memorandum of Understanding signed with the Company, Ocumension has: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An exclusive license for the development and commercialization of its three-year micro insert using the Durasert</w:t>
      </w:r>
      <w:r>
        <w:rPr>
          <w:rFonts w:ascii="Times New Roman" w:hAnsi="Times New Roman"/>
          <w:color w:val="000000"/>
          <w:sz w:val="13"/>
        </w:rPr>
        <w:t>®</w:t>
      </w:r>
      <w:r>
        <w:rPr>
          <w:rFonts w:ascii="Times New Roman" w:hAnsi="Times New Roman"/>
          <w:color w:val="000000"/>
          <w:sz w:val="20"/>
        </w:rPr>
        <w:t xml:space="preserve"> technology for the treatment of posterior segment uveitis of the eye (YUTIQ</w:t>
      </w:r>
      <w:r>
        <w:rPr>
          <w:rFonts w:ascii="Times New Roman" w:hAnsi="Times New Roman"/>
          <w:color w:val="000000"/>
          <w:sz w:val="13"/>
        </w:rPr>
        <w:t>®</w:t>
      </w:r>
      <w:r>
        <w:rPr>
          <w:rFonts w:ascii="Times New Roman" w:hAnsi="Times New Roman"/>
          <w:color w:val="000000"/>
          <w:sz w:val="20"/>
        </w:rPr>
        <w:t xml:space="preserve"> in the U.S.) in Mainland China, Hong Kong, Macau, and Taiwan at its own cost and expense in return for royalties based on sales with the Company supplying products for clinical trials and commercial sale;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color w:val="000000"/>
          <w:sz w:val="20"/>
        </w:rPr>
        <w:t>An exclusive license for the development and commercialization in Mainland China, Hong Kong, Macau, and Taiwan of DEXYCU</w:t>
      </w:r>
      <w:r>
        <w:rPr>
          <w:rFonts w:ascii="Times New Roman" w:hAnsi="Times New Roman"/>
          <w:color w:val="000000"/>
          <w:sz w:val="13"/>
        </w:rPr>
        <w:t>®</w:t>
      </w:r>
      <w:r>
        <w:rPr>
          <w:rFonts w:ascii="Times New Roman" w:hAnsi="Times New Roman"/>
          <w:color w:val="000000"/>
          <w:sz w:val="20"/>
        </w:rPr>
        <w:t xml:space="preserve"> for the treatment of post-operative inflammation following ocular surgery at its own cost and expense in return for royalties based on sales with the Company supplying product for clinical trials and commercial sale;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color w:val="000000"/>
          <w:sz w:val="20"/>
        </w:rPr>
        <w:t>Exclusive rights to develop and commercialize YUTIQ</w:t>
      </w:r>
      <w:r>
        <w:rPr>
          <w:rFonts w:ascii="Times New Roman" w:hAnsi="Times New Roman"/>
          <w:color w:val="000000"/>
          <w:sz w:val="13"/>
        </w:rPr>
        <w:t>®</w:t>
      </w:r>
      <w:r>
        <w:rPr>
          <w:rFonts w:ascii="Times New Roman" w:hAnsi="Times New Roman"/>
          <w:color w:val="000000"/>
          <w:sz w:val="20"/>
        </w:rPr>
        <w:t xml:space="preserve"> and DEXYCU</w:t>
      </w:r>
      <w:r>
        <w:rPr>
          <w:rFonts w:ascii="Times New Roman" w:hAnsi="Times New Roman"/>
          <w:color w:val="000000"/>
          <w:sz w:val="13"/>
        </w:rPr>
        <w:t>®</w:t>
      </w:r>
      <w:r>
        <w:rPr>
          <w:rFonts w:ascii="Times New Roman" w:hAnsi="Times New Roman"/>
          <w:color w:val="000000"/>
          <w:sz w:val="20"/>
        </w:rPr>
        <w:t xml:space="preserve"> products under its own brand names in South Korea and other jurisdictions across Southeast Asia in Brunei, Burma (Myanmar), Cambodia, Timor-Leste, Indonesia, Laos, Malaysia, the Philippines, Singapore, Thailand, and Vietnam (the Territory), at its own cost and expense in return for royalties based on sales;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color w:val="000000"/>
          <w:sz w:val="20"/>
        </w:rPr>
        <w:t>The right and obligation to manufacture YUTIQ</w:t>
      </w:r>
      <w:r>
        <w:rPr>
          <w:rFonts w:ascii="Times New Roman" w:hAnsi="Times New Roman"/>
          <w:color w:val="000000"/>
          <w:sz w:val="13"/>
        </w:rPr>
        <w:t>®</w:t>
      </w:r>
      <w:r>
        <w:rPr>
          <w:rFonts w:ascii="Times New Roman" w:hAnsi="Times New Roman"/>
          <w:color w:val="000000"/>
          <w:sz w:val="20"/>
        </w:rPr>
        <w:t>, either by itself or through affiliates or sub-contractors, for sale and use in the Territory following completion of a technology and know-how transfer from the Company to Ocumension.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from sales of product supply to Ocumension under the supply agreement was $0 and $0.5 million during the three and six months ended June 30, 2026, respectively, and $0 during the three and six months ended June 30, 2025, respectively. Royalty income was immaterial during the three and six months ended June 30, 2026, respectively, and $0 was recorded for the three and six months ended June 30, 2025. License and collaboration revenue related to additional technical assistance during the three and six months ended June 30, 2026 and 2025 was immaterial.</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tbl>
      <w:tblPr>
        <w:tblW w:w="6630" w:type="dxa"/>
        <w:jc w:val="left"/>
        <w:tblInd w:w="0" w:type="dxa"/>
        <w:tblLayout w:type="fixed"/>
        <w:tblCellMar>
          <w:top w:w="28" w:type="dxa"/>
          <w:left w:w="28" w:type="dxa"/>
          <w:bottom w:w="28" w:type="dxa"/>
          <w:right w:w="28" w:type="dxa"/>
        </w:tblCellMar>
      </w:tblPr>
      <w:tblGrid>
        <w:gridCol w:w="3931"/>
        <w:gridCol w:w="146"/>
        <w:gridCol w:w="218"/>
        <w:gridCol w:w="592"/>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Company also had $8.7 million and $5.4 million, respectively, of long term prepaid clinical expense included in other assets on its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Inventory consisted of the following (in thousands):</w:t>
      </w:r>
    </w:p>
    <w:tbl>
      <w:tblPr>
        <w:tblW w:w="4125" w:type="dxa"/>
        <w:jc w:val="left"/>
        <w:tblInd w:w="0" w:type="dxa"/>
        <w:tblLayout w:type="fixed"/>
        <w:tblCellMar>
          <w:top w:w="28" w:type="dxa"/>
          <w:left w:w="28" w:type="dxa"/>
          <w:bottom w:w="28" w:type="dxa"/>
          <w:right w:w="28" w:type="dxa"/>
        </w:tblCellMar>
      </w:tblPr>
      <w:tblGrid>
        <w:gridCol w:w="1426"/>
        <w:gridCol w:w="146"/>
        <w:gridCol w:w="218"/>
        <w:gridCol w:w="592"/>
        <w:gridCol w:w="146"/>
        <w:gridCol w:w="146"/>
        <w:gridCol w:w="339"/>
        <w:gridCol w:w="92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As of June 30, 2026 and December 31, 2025, 100% of the Company’s inventory balance was related to YUTIQ</w:t>
      </w:r>
      <w:r>
        <w:rPr>
          <w:rFonts w:ascii="Times New Roman" w:hAnsi="Times New Roman"/>
          <w:color w:val="000000"/>
          <w:sz w:val="13"/>
        </w:rPr>
        <w:t xml:space="preserve">® </w:t>
      </w:r>
      <w:r>
        <w:rPr>
          <w:rFonts w:ascii="Times New Roman" w:hAnsi="Times New Roman"/>
          <w:color w:val="000000"/>
          <w:sz w:val="20"/>
        </w:rPr>
        <w:t xml:space="preserve">production for the Company's China partner, Ocumension.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Accrued expenses consisted of the following (in thousands):</w:t>
      </w:r>
    </w:p>
    <w:tbl>
      <w:tblPr>
        <w:tblW w:w="7217" w:type="dxa"/>
        <w:jc w:val="left"/>
        <w:tblInd w:w="0" w:type="dxa"/>
        <w:tblLayout w:type="fixed"/>
        <w:tblCellMar>
          <w:top w:w="28" w:type="dxa"/>
          <w:left w:w="28" w:type="dxa"/>
          <w:bottom w:w="28" w:type="dxa"/>
          <w:right w:w="28" w:type="dxa"/>
        </w:tblCellMar>
      </w:tblPr>
      <w:tblGrid>
        <w:gridCol w:w="4441"/>
        <w:gridCol w:w="146"/>
        <w:gridCol w:w="211"/>
        <w:gridCol w:w="676"/>
        <w:gridCol w:w="146"/>
        <w:gridCol w:w="146"/>
        <w:gridCol w:w="299"/>
        <w:gridCol w:w="96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contingencies and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chargebacks, rebates and other revenue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February 13, 2026, the Company entered into a lease agreement (Watertown Lease) for its new office space expansion located at 480 Pleasant Street, Watertown, Massachusetts and consists of 10,675 square-feet. The lease term, under ASC 842, commenced during the second quarter of 2026. The Company signed an amendment effective February 13, 2026, providing for an obligation to pay base rent beginning on May 1, 2026. The Company is responsible for electricity costs applicable to the leased premises and reasonable care of provided furniture. The Company recognized an initial increase of $0.6 million to its lease liabilities and ROU assets resulting from the Watertown Lease during the second quarter of 2026.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determined the lease consists of a single lease component and no option to extend the expansion space exists. Variable lease payments, such as electricity costs are not included in the determination of the lease’s ROU asset or lease liability.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March 31, 2025, the Company amended the lease for its headquarters in Watertown, Massachusetts to extend the term to May 31, 2028 for 8,383 square feet of laboratory and manufacturing operations space. During the first quarter of 2025, the Company recognized a $0.9 million increase to its lease liabilities and right-of-use (ROU) assets resulting from the lease amendment for the term extension of the laboratory and manufacturing operations space.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January 23, 2023, the Company entered into a lease agreement (the Northbridge Lease) for its new standalone commercial manufacturing facility, including office and lab space located at 600 Commerce Drive, Northbridge, Massachusetts. The new 41,141 square-foot manufacturing facility is Current Good Manufacturing Practice (cGMP) compliant to meet U.S. FDA and European Medicines Agency (EMA) standards to support DURAVYU clinical supply and commercial readiness upon regulatory approval. In addition, the building has the capacity and capabilities for pipeline expansion. The lease includes a non-cancellable lease term of fifteen years and four months, with two options to extend the lease term for two additional terms of either five years or ten years at 95% of the then-prevailing fair market rent. The lease term, under ASC 842, commenced during the second quarter of 2024. The Company entered into an amendment to the Northbridge Lease, effective September 30, 2024. Pursuant to the amendment, the Company's obligation to pay base rent began on March 1, 2025. The Company is responsible for real estate taxes, maintenance, and other operating expenses applicable to the leased premises. The Company recognized an initial increase of $17.7 million to its lease liabilities and $17.9 million to its right-of-use (ROU) assets resulting from the Northbridge Lease during the second quarter of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Since the Company elected to account for each lease component and its associated non-lease components as a single combined component, all contract consideration was allocated to the respective lease components. The expected lease terms include non-cancellable lease periods. Renewal option periods have not been included in the determination of the lease terms as they are not deemed reasonably certain of exercise. Variable lease payments, such as common area maintenance, real estate taxes, and property insurance are not included in the determination of the lease’s ROU asset or lease liability.</w:t>
      </w:r>
    </w:p>
    <w:p>
      <w:pPr>
        <w:pStyle w:val="TextBody"/>
        <w:bidi w:val="0"/>
        <w:jc w:val="left"/>
        <w:rPr>
          <w:rFonts w:ascii="Times New Roman" w:hAnsi="Times New Roman"/>
          <w:color w:val="000000"/>
          <w:sz w:val="20"/>
        </w:rPr>
      </w:pPr>
      <w:r>
        <w:rPr>
          <w:rFonts w:ascii="Times New Roman" w:hAnsi="Times New Roman"/>
          <w:color w:val="000000"/>
          <w:sz w:val="20"/>
        </w:rPr>
        <w:t>As of June 30, 2026, the weighted average remaining term of the Company’s operating leases was 11.4 years and the weighted average discount rate was 11.69%. As of December 31, 2025, the weighted average remaining term of the Company’s operating leases was 11.8 years and the weighted average discount rate was 11.75%.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Supplemental balance sheet information related to operating leases are as follows (in thousands):</w:t>
      </w:r>
    </w:p>
    <w:tbl>
      <w:tblPr>
        <w:tblW w:w="7472" w:type="dxa"/>
        <w:jc w:val="left"/>
        <w:tblInd w:w="0" w:type="dxa"/>
        <w:tblLayout w:type="fixed"/>
        <w:tblCellMar>
          <w:top w:w="28" w:type="dxa"/>
          <w:left w:w="28" w:type="dxa"/>
          <w:bottom w:w="28" w:type="dxa"/>
          <w:right w:w="28" w:type="dxa"/>
        </w:tblCellMar>
      </w:tblPr>
      <w:tblGrid>
        <w:gridCol w:w="4696"/>
        <w:gridCol w:w="146"/>
        <w:gridCol w:w="211"/>
        <w:gridCol w:w="676"/>
        <w:gridCol w:w="146"/>
        <w:gridCol w:w="146"/>
        <w:gridCol w:w="299"/>
        <w:gridCol w:w="961"/>
        <w:gridCol w:w="1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 – operating lease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elements of lease expense were as follows (in thousands):</w:t>
      </w:r>
    </w:p>
    <w:tbl>
      <w:tblPr>
        <w:tblW w:w="7070" w:type="dxa"/>
        <w:jc w:val="left"/>
        <w:tblInd w:w="0" w:type="dxa"/>
        <w:tblLayout w:type="fixed"/>
        <w:tblCellMar>
          <w:top w:w="28" w:type="dxa"/>
          <w:left w:w="28" w:type="dxa"/>
          <w:bottom w:w="28" w:type="dxa"/>
          <w:right w:w="28" w:type="dxa"/>
        </w:tblCellMar>
      </w:tblPr>
      <w:tblGrid>
        <w:gridCol w:w="2511"/>
        <w:gridCol w:w="146"/>
        <w:gridCol w:w="213"/>
        <w:gridCol w:w="577"/>
        <w:gridCol w:w="147"/>
        <w:gridCol w:w="147"/>
        <w:gridCol w:w="213"/>
        <w:gridCol w:w="577"/>
        <w:gridCol w:w="146"/>
        <w:gridCol w:w="146"/>
        <w:gridCol w:w="211"/>
        <w:gridCol w:w="571"/>
        <w:gridCol w:w="146"/>
        <w:gridCol w:w="146"/>
        <w:gridCol w:w="211"/>
        <w:gridCol w:w="57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expense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 was $1.2 million and $1.6 million for the six months ended June 30, 2026 and 2025, respectively.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total future minimum lease payments under non-cancellable leases at June 30, 2026 were as follows (in thousands):</w:t>
      </w:r>
    </w:p>
    <w:tbl>
      <w:tblPr>
        <w:tblW w:w="3793" w:type="dxa"/>
        <w:jc w:val="left"/>
        <w:tblInd w:w="0" w:type="dxa"/>
        <w:tblLayout w:type="fixed"/>
        <w:tblCellMar>
          <w:top w:w="28" w:type="dxa"/>
          <w:left w:w="28" w:type="dxa"/>
          <w:bottom w:w="28" w:type="dxa"/>
          <w:right w:w="28" w:type="dxa"/>
        </w:tblCellMar>
      </w:tblPr>
      <w:tblGrid>
        <w:gridCol w:w="1846"/>
        <w:gridCol w:w="146"/>
        <w:gridCol w:w="353"/>
        <w:gridCol w:w="1237"/>
        <w:gridCol w:w="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ATM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2020, the Company entered into an at-the-market facility (the ATM Facility) with Cantor Fitzgerald &amp; Co (Cantor). Pursuant to the ATM Facility, the Company may, at its option, offer and sell shares of its common stock from time to time, through or to Cantor, acting as sales agent. The Company will pay Cantor a commission of 3.0% of the gross proceeds from any future sales of such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sold 1,429,047 shares of common stock under the ATM Facility at a weighted average price of $14.16 per share for gross proceeds of approximately $20.2 million. Share issue costs, including sales agent commissions, totaled approximately $0.7 million. During July 2026, the Company sold 1,208,718 shares of common stock under the ATM Facility at a weighted average price of $14.44 per share for gross proceeds of approximately $17.5 million. Share issue costs, including sales agent commissions, totaled approximately $0.5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did not sell any shares of its common stock under the ATM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 to Purchase Common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issued 3,272,727 shares of pre-funded warrants (PFWs) to purchase common stock, in connection with the November 2021 underwritten public offering. On April 18, 2024, 2,181,818 PFWs were exercised in full as a cashless exercise, resulting in a net issuance of 2,180,776 shares of 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issued 1,500,000 shares of PFWs to purchase common stock, in connection with the October 2025 underwritten public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2025, 2,590,909 and 1,090,909 PFWs were outstanding, respectively. The PFWs were included in the basic and diluted net loss per share calculations during both periods.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Share-Based Payment Awards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2023 Long-Term Incentive Plan (the “2023 Plan”), approved by the Company’s stockholders on June 20, 2023 (the “Adoption Date”), originally provided for the issuance of up to 3,500,000 shares of the Company’s common stock reserved for issuance under the 2023 Plan plus any additional shares of the Company’s common stock that were available for grant under the 2008 and the 2016 Incentive Plan (the “2008 &amp; 2016 Plan”) at the Adoption Date or would otherwise become available for grant under the 2008 Plan as a result of subsequent termination or forfeiture of awards under the 2008 or 2016 Plan. Prior to June 18, 2026, the maximum aggregate number of shares available for issuance under the 2023 Plan was equal to (i) 10,400,000 shares, plus (ii) 184,904 shares that were previously available for grant under the Company’s 2016 Equity Incentive Plan (the 2016 Plan) that were transferred to the 2023 Plan on June 20, 2023, plus (iii) any shares granted under the Company’s 2008 Equity Incentive Plan or 2016 Plan (collectively, the Prior Plans) that, on or after the effective date of the 2023 Plan, become available as a result of the termination or forfeiture of awards under the Prior Plans. At the Company’s Annual Meeting of Stockholders held on June 18, 2026, the Company’s stockholders approved an amendment to the 2023 Plan to increase the number of shares authorized for issuance by 4,900,000 shares to 15,300,000 shares under the 2023 Plan. At June 30, 2026, a total of approximately 6,329,633 shares were available for new awards under the 2023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Starting March 2022, the Company granted non-statutory stock options to new employees as inducement awards to enter into employment with the Company. The grants were approved by the Compensation Committee of the Board of Directors and awarded in accordance with Nasdaq Listing Rule 5635(c)(4). Although not awarded under any equity incentive plans, the grants are subject to and governed by the terms and conditions of the applicable plan in effect at the time of the grant.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provides a reconciliation of stock option activity under the Company’s equity incentive plan and for inducement awards for the six months ended June 30, 2026:</w:t>
      </w:r>
    </w:p>
    <w:tbl>
      <w:tblPr>
        <w:tblW w:w="8673"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47"/>
        <w:gridCol w:w="669"/>
        <w:gridCol w:w="146"/>
        <w:gridCol w:w="146"/>
        <w:gridCol w:w="268"/>
        <w:gridCol w:w="858"/>
        <w:gridCol w:w="146"/>
        <w:gridCol w:w="146"/>
        <w:gridCol w:w="302"/>
        <w:gridCol w:w="973"/>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stock options generally vest over four years with 25% vesting after one year of service followed by ratable monthly vesting over the remaining three years. Nonemployee awards are granted similar to the Company’s employee awards. All option grants have a 10-year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Company recognizes stock-based compensation expense over the requisite service period based on the grant date fair value of the award. The Company has elected to use the Black-Scholes option pricing model to determine the fair value of awards granted. The determination of the fair value of stock-based awards utilizing the Black-Scholes model is affected by the share price and a number of assumptions, including expected volatility, expected life, risk-free interest rate and expected dividends. The Company determined the expected volatility by using available historical price information.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Forfeitures have not been material in the periods presented.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fair value of the share-based awards was measured with the following range of assumptions for the six months ended June 30, 2026:</w:t>
      </w:r>
    </w:p>
    <w:tbl>
      <w:tblPr>
        <w:tblW w:w="3673" w:type="dxa"/>
        <w:jc w:val="left"/>
        <w:tblInd w:w="0" w:type="dxa"/>
        <w:tblLayout w:type="fixed"/>
        <w:tblCellMar>
          <w:top w:w="28" w:type="dxa"/>
          <w:left w:w="28" w:type="dxa"/>
          <w:bottom w:w="28" w:type="dxa"/>
          <w:right w:w="28" w:type="dxa"/>
        </w:tblCellMar>
      </w:tblPr>
      <w:tblGrid>
        <w:gridCol w:w="1846"/>
        <w:gridCol w:w="146"/>
        <w:gridCol w:w="168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 - 99%</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 - 4.31%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summarizes information about employee, non-executive director and external consultant stock options for the six months ended June 30, 2026 (in thousands except per share amount):</w:t>
      </w:r>
    </w:p>
    <w:tbl>
      <w:tblPr>
        <w:tblW w:w="6106" w:type="dxa"/>
        <w:jc w:val="left"/>
        <w:tblInd w:w="0" w:type="dxa"/>
        <w:tblLayout w:type="fixed"/>
        <w:tblCellMar>
          <w:top w:w="28" w:type="dxa"/>
          <w:left w:w="28" w:type="dxa"/>
          <w:bottom w:w="28" w:type="dxa"/>
          <w:right w:w="28" w:type="dxa"/>
        </w:tblCellMar>
      </w:tblPr>
      <w:tblGrid>
        <w:gridCol w:w="4171"/>
        <w:gridCol w:w="109"/>
        <w:gridCol w:w="441"/>
        <w:gridCol w:w="1194"/>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received from exercise of stock options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intrinsic value of stock options exercised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Performance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first quarter of 2026, the Company’s board of directors approved the issuance of stock options to purchase an aggregate of 671,000 shares of the Company’s common stock. These options contain performance</w:t>
        <w:noBreakHyphen/>
        <w:t>based vesting conditions, which are earned and become eligible to vest based upon both the retained employment of the grantees and the achievement of certain development and regulatory performance based milestones related to DURAVYU. The Company will continue to assess the probability related to the performance milestones and begin recognizing stock-based compensation expense in future periods if, and when, achievement of the relevant performance milestones becomes probable or is achieved, consistent with the reassessment requirements of ASC 718.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the Company recognized no stock</w:t>
        <w:noBreakHyphen/>
        <w:t>based compensation expense related to these performance</w:t>
        <w:noBreakHyphen/>
        <w:t>based options. The Company will begin recognizing stock</w:t>
        <w:noBreakHyphen/>
        <w:t>based compensation expense for these options in future periods if and when the relevant performance milestones are achieved or achievement becomes probable.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Time-Vested Restricted Stock Units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Time-vested restricted stock units (RSUs) issued to date under the 2016 Plan and the 2023 Plan generally vest on a ratable annual basis over 3 years. The related stock-based compensation expense is recorded over the requisite service period, which is the vesting period. The fair value of all time-vested RSUs is based on the closing share price of the Company’s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provides a reconciliation of RSU activity under the 2016 Plan and the 2023 Plan for the six months ended June 30, 2026:</w:t>
      </w:r>
    </w:p>
    <w:tbl>
      <w:tblPr>
        <w:tblW w:w="9980" w:type="dxa"/>
        <w:jc w:val="left"/>
        <w:tblInd w:w="0" w:type="dxa"/>
        <w:tblLayout w:type="fixed"/>
        <w:tblCellMar>
          <w:top w:w="28" w:type="dxa"/>
          <w:left w:w="28" w:type="dxa"/>
          <w:bottom w:w="28" w:type="dxa"/>
          <w:right w:w="28" w:type="dxa"/>
        </w:tblCellMar>
      </w:tblPr>
      <w:tblGrid>
        <w:gridCol w:w="2806"/>
        <w:gridCol w:w="146"/>
        <w:gridCol w:w="392"/>
        <w:gridCol w:w="2503"/>
        <w:gridCol w:w="166"/>
        <w:gridCol w:w="146"/>
        <w:gridCol w:w="979"/>
        <w:gridCol w:w="265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the weighted average remaining vesting term of the RSUs was 1.56 years.</w:t>
      </w:r>
    </w:p>
    <w:p>
      <w:pPr>
        <w:pStyle w:val="TextBody"/>
        <w:bidi w:val="0"/>
        <w:spacing w:before="20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Employee Stock Purchase Plan (the ESPP) allows qualified participants to purchase the Company’s common stock twice a year at 85% of the lesser of the average of the high and low sales price of the Company’s common stock on (i) the first trading day of the relevant offering period and (ii) the last trading day of the relevant offering period. The number of shares of the Company’s common stock each employee may purchase under this plan, when combined with all other employee stock purchase plans, is limited to the lower of an aggregate fair market value of $25,000 during each calendar year, or 5,000 shares of the Company’s common stock in any one offering period. The Company has maintained consecutive six-month offering periods since August 1, 2019. During the three and six months ended June 30, 2026, 0 and 63,086 shares of the Company’s common stock were issued pursuant to the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estimated the fair value of the option component of the ESPP shares at the date of grant using a Black-Scholes valuation model. During the three and six months ended June 30, 2026, and 2025 the compensation expense from ESPP shares was $0.1 million and $0.2 million,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condensed consolidated statements of operations and comprehensive loss included total compensation expense from stock-based payment awards as follows (in thousands):</w:t>
      </w:r>
    </w:p>
    <w:tbl>
      <w:tblPr>
        <w:tblW w:w="7902" w:type="dxa"/>
        <w:jc w:val="left"/>
        <w:tblInd w:w="0" w:type="dxa"/>
        <w:tblLayout w:type="fixed"/>
        <w:tblCellMar>
          <w:top w:w="28" w:type="dxa"/>
          <w:left w:w="28" w:type="dxa"/>
          <w:bottom w:w="28" w:type="dxa"/>
          <w:right w:w="28" w:type="dxa"/>
        </w:tblCellMar>
      </w:tblPr>
      <w:tblGrid>
        <w:gridCol w:w="3046"/>
        <w:gridCol w:w="146"/>
        <w:gridCol w:w="211"/>
        <w:gridCol w:w="676"/>
        <w:gridCol w:w="146"/>
        <w:gridCol w:w="146"/>
        <w:gridCol w:w="211"/>
        <w:gridCol w:w="571"/>
        <w:gridCol w:w="146"/>
        <w:gridCol w:w="146"/>
        <w:gridCol w:w="211"/>
        <w:gridCol w:w="676"/>
        <w:gridCol w:w="146"/>
        <w:gridCol w:w="146"/>
        <w:gridCol w:w="211"/>
        <w:gridCol w:w="676"/>
        <w:gridCol w:w="3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At June 30, 2026, there was approximately $50.4 million of unrecognized compensation expense related to outstanding equity awards under the 2023 Plan, the 2016 Plan, the inducement awards and the ESPP that is expected to be recognized as expense over a weighted average period of approximately 1.68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tables summarize the Company’s assets by significant categories carried at fair value measured on a recurring basis by valuation hierarchy (in thousands):</w:t>
      </w:r>
    </w:p>
    <w:tbl>
      <w:tblPr>
        <w:tblW w:w="10205" w:type="dxa"/>
        <w:jc w:val="left"/>
        <w:tblInd w:w="0" w:type="dxa"/>
        <w:tblLayout w:type="fixed"/>
        <w:tblCellMar>
          <w:top w:w="28" w:type="dxa"/>
          <w:left w:w="28" w:type="dxa"/>
          <w:bottom w:w="28" w:type="dxa"/>
          <w:right w:w="28" w:type="dxa"/>
        </w:tblCellMar>
      </w:tblPr>
      <w:tblGrid>
        <w:gridCol w:w="1575"/>
        <w:gridCol w:w="146"/>
        <w:gridCol w:w="211"/>
        <w:gridCol w:w="781"/>
        <w:gridCol w:w="146"/>
        <w:gridCol w:w="146"/>
        <w:gridCol w:w="392"/>
        <w:gridCol w:w="644"/>
        <w:gridCol w:w="146"/>
        <w:gridCol w:w="146"/>
        <w:gridCol w:w="372"/>
        <w:gridCol w:w="664"/>
        <w:gridCol w:w="166"/>
        <w:gridCol w:w="146"/>
        <w:gridCol w:w="214"/>
        <w:gridCol w:w="794"/>
        <w:gridCol w:w="146"/>
        <w:gridCol w:w="146"/>
        <w:gridCol w:w="264"/>
        <w:gridCol w:w="847"/>
        <w:gridCol w:w="146"/>
        <w:gridCol w:w="146"/>
        <w:gridCol w:w="386"/>
        <w:gridCol w:w="1242"/>
        <w:gridCol w:w="193"/>
      </w:tblGrid>
      <w:tr>
        <w:trPr/>
        <w:tc>
          <w:tcPr>
            <w:tcW w:w="1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w:t>
              <w:b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8"/>
        <w:gridCol w:w="146"/>
        <w:gridCol w:w="211"/>
        <w:gridCol w:w="781"/>
        <w:gridCol w:w="146"/>
        <w:gridCol w:w="146"/>
        <w:gridCol w:w="345"/>
        <w:gridCol w:w="691"/>
        <w:gridCol w:w="146"/>
        <w:gridCol w:w="146"/>
        <w:gridCol w:w="392"/>
        <w:gridCol w:w="644"/>
        <w:gridCol w:w="166"/>
        <w:gridCol w:w="146"/>
        <w:gridCol w:w="214"/>
        <w:gridCol w:w="793"/>
        <w:gridCol w:w="146"/>
        <w:gridCol w:w="146"/>
        <w:gridCol w:w="264"/>
        <w:gridCol w:w="847"/>
        <w:gridCol w:w="146"/>
        <w:gridCol w:w="146"/>
        <w:gridCol w:w="336"/>
        <w:gridCol w:w="1249"/>
        <w:gridCol w:w="194"/>
      </w:tblGrid>
      <w:tr>
        <w:trPr/>
        <w:tc>
          <w:tcPr>
            <w:tcW w:w="1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w:t>
              <w:b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a total of $76.7 million or 100% of the Company’s interest-bearing cash equivalent balances were concentrated in one institutional money market fund that has investments consisting primarily of Repurchase Agreements and U.S Treasuries. At December 31, 2025, a total of $89.1 million or 94.7% of the Company’s interest-bearing cash equivalent balances were concentrated in one institutional money market fund that has investments consisting primarily of Repurchase Agreements, U.S Treasuries, and U.S. Government Agency Debts.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cash equivalents and marketable securities are classified within Level 1 or Level 2 on the basis of valuations using quoted market prices or alternative pricing sources and models utilizing market observable inputs, respectively. The marketable securities have been valued on the basis of valuations provided by third-party pricing services, as derived from such services’ pricing models.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and have been classified as Level 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amounts of accounts receivable, accounts payable, and accrued expenses approximate fair value because of their short-term maturity.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Business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in one business segment, which is the business of developing and commercializing innovative products for the treatment of serious retinal diseases. Operating segments are identified as components of an enterprise about which separate discrete financial information is available for evaluation by the chief operating decision maker (CODM) in making decisions regarding resource allocation and assessing performance. The Company's CODM is the Chief Executive Officer. The CODM made such decisions and assessed performance at the Company level, as one segment.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Significant segment expenses are as follows (in thousands):</w:t>
      </w:r>
    </w:p>
    <w:tbl>
      <w:tblPr>
        <w:tblW w:w="10205" w:type="dxa"/>
        <w:jc w:val="left"/>
        <w:tblInd w:w="0" w:type="dxa"/>
        <w:tblLayout w:type="fixed"/>
        <w:tblCellMar>
          <w:top w:w="28" w:type="dxa"/>
          <w:left w:w="28" w:type="dxa"/>
          <w:bottom w:w="28" w:type="dxa"/>
          <w:right w:w="28" w:type="dxa"/>
        </w:tblCellMar>
      </w:tblPr>
      <w:tblGrid>
        <w:gridCol w:w="4814"/>
        <w:gridCol w:w="146"/>
        <w:gridCol w:w="211"/>
        <w:gridCol w:w="736"/>
        <w:gridCol w:w="166"/>
        <w:gridCol w:w="146"/>
        <w:gridCol w:w="211"/>
        <w:gridCol w:w="736"/>
        <w:gridCol w:w="166"/>
        <w:gridCol w:w="146"/>
        <w:gridCol w:w="211"/>
        <w:gridCol w:w="841"/>
        <w:gridCol w:w="166"/>
        <w:gridCol w:w="146"/>
        <w:gridCol w:w="211"/>
        <w:gridCol w:w="841"/>
        <w:gridCol w:w="311"/>
      </w:tblGrid>
      <w:tr>
        <w:trPr/>
        <w:tc>
          <w:tcPr>
            <w:tcW w:w="4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DURAVYU direct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direct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Intellectual property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Legal, corporate and professional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*Other segment expenses include cost of goods sold and other expenses required to operate as a public company, such as insurance, software and contracted services.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various routine legal proceedings and claims incidental to its business, which management believes will not have a material effect on the Company’s financial position, results of operations or cash flows.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 Department of Justice Settlement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previously reported, in August 2022, the Company received a subpoena from the U.S. Attorney’s Office for the District of Massachusetts (DOJ), seeking production of documents related to sales, marketing, and promotional practices, including as pertain to DEXYCU®, which the Company commercialized from 2019 to 2023. The subpoena stemmed from a sealed qui tam complaint filed in the U.S. District Court for the District of Massachusetts. The DOJ investigation related to the False Claims Act and the Anti-Kickback Statute, and focused on certain of the Company’s sales, marketing and promotional practices, including sampling practices, as pertain to DEXYCU during the period for which the Company commercialized this product.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first quarter of 2026, the Company reached an agreement in principle with the DOJ to settle these matters for a payment of approximately $4.7 million plus interest (exclusive of attorneys’ fees payable by the Company to counsel for the relator in the qui tam action of approximately $0.2 million), with such agreement in principle subject to the Company reaching an agreement in principle with the Office of Inspector General of the Department of Health and Human Services (HHS). Under ASC 450, the Company recorded an approximately $4.7 million litigation contingency liability for this matter in its consolidated balance sheets as of December 31, 2025 based on the status of settlement discussions with the DOJ as of that date. The Company recorded an additional $0.2 million accrual during the first quarter of 2026, for an ending accrual balance of $4.9 million as of June 30, 2026 related to this matter. As of June 30, 2025, the contingent liability amount related to this matter was not determinable, and, accordingly the Company did not record a liability as of that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July 17, 2026 (the “Effective Date”) the Company entered into a settlement agreement (the “Settlement Agreement”) with the United States of America, acting through the DOJ and on behalf of HHS and the Defense Health Agency (“DHA”), acting on behalf of the TRICARE Program, and the relator named therein. Pursuant to the Settlement Agreement, the Company agreed,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things, to pay a settlement amount of $4,678,981.86, plus interest at a rate of 4.25% per annum from January 28, 2026 (the “Settlement Payment”). The Settlement Payment consisted of (i) $4,657,463.18 (plus interest) to be paid to the United States and (ii) $21,518.68 (plus interest) to be paid to certain participating states, in each case payable no later than 14 days after the Effective Date. In addition, the Company agreed to pay $166,500 for attorneys’ fees and costs to relator’s counsel no later than 60 days after the Effective Date. Conditioned upon payment of the Settlement Payment, the DOJ, OIG-HHS, DHA and the relator have agreed to release the Company and its subsidiaries from any civil or administrative monetary liability arising from the Covered Conduct (as defined in the Settlement Agreement), and the DOJ and the relator agreed to dismiss the civil action filed by the relator. In connection with the Settlement Agreement, on July 13, 2026, the Company entered into a Corporate Integrity Agreement (the “Corporate Integrity Agreement”) with HHS, which requires the Company to establish and maintain certain compliance programs for a five-year term, as more fully described in the Corporate Integrity Agreement. In exchange, HHS agreed not to seek the exclusion of the Company from participation in Medicare, Medicaid, or other federal health care programs as a result of the Covered Conduct. On July 31, 2026, the Company paid the Settlement Payment in full.</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the net loss by the weighted average number of common shares outstanding during the period. For periods in which the Company reports net income, diluted net income per share is determined by adding to the basic weighted average number of common shares outstanding the total number of dilutive common equivalent shares using the treasury stock method, unless the effect is anti-dilutive.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Common stock equivalents excluded from the calculation of diluted earnings per share because the effect would have been anti-dilutive were as follows:</w:t>
      </w:r>
    </w:p>
    <w:tbl>
      <w:tblPr>
        <w:tblW w:w="4869" w:type="dxa"/>
        <w:jc w:val="left"/>
        <w:tblInd w:w="0" w:type="dxa"/>
        <w:tblLayout w:type="fixed"/>
        <w:tblCellMar>
          <w:top w:w="28" w:type="dxa"/>
          <w:left w:w="28" w:type="dxa"/>
          <w:bottom w:w="28" w:type="dxa"/>
          <w:right w:w="28" w:type="dxa"/>
        </w:tblCellMar>
      </w:tblPr>
      <w:tblGrid>
        <w:gridCol w:w="1876"/>
        <w:gridCol w:w="146"/>
        <w:gridCol w:w="146"/>
        <w:gridCol w:w="1036"/>
        <w:gridCol w:w="146"/>
        <w:gridCol w:w="146"/>
        <w:gridCol w:w="146"/>
        <w:gridCol w:w="103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1,522,267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13,740,596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11,055,774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FFFFFF"/>
          <w:sz w:val="20"/>
        </w:rPr>
      </w:pPr>
      <w:r>
        <w:rPr>
          <w:rFonts w:ascii="Times New Roman" w:hAnsi="Times New Roman"/>
          <w:b/>
          <w:color w:val="FFFFFF"/>
          <w:sz w:val="20"/>
        </w:rPr>
        <w:t>14.</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potential for DURAVYU, as an investigational sustained delivery intravitreal treatment deploying a bioerodible Durasert E insert of vorolanib, a selective and patented tyrosine kinase inhibitor (TKI) targeting wet age-related macular degeneration (wet AMD) and diabetic macular edema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of DURAVYU's multi-mechanism of action to deliver a synergistic anti-inflammatory effect alongside its established VEGF receptor and PDGF receptor inhibition in the treatment of wet AMD and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timing and outcome of our ongoing clinical trials for DURAVYU for the treatment of wet AMD and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timing and outcome of our planned regulatory communication and interactions with the U.S. Food and Drug Administration (FDA) and comparable regulatory bodies;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timing and clinical development of our other pipeline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belief that our cash, cash equivalents, and investments in marketable securities of $180.5 million at June 30, 2026, will enable us to fund operations into the fourth quarter of 2027, beyond Phase 3 wet AMD topline data for DURAVYU expected in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our future expenses and capital expenditures;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expectations regarding the warning letter we received from the FDA in July 2024, or the Warning Letter, pertaining to YUTIQ</w:t>
      </w:r>
      <w:r>
        <w:rPr>
          <w:rFonts w:ascii="Times New Roman" w:hAnsi="Times New Roman"/>
          <w:color w:val="000000"/>
          <w:sz w:val="13"/>
        </w:rPr>
        <w:t>®</w:t>
      </w:r>
      <w:r>
        <w:rPr>
          <w:color w:val="000000"/>
        </w:rPr>
        <w:t xml:space="preserve"> </w:t>
      </w:r>
      <w:r>
        <w:rPr>
          <w:rFonts w:ascii="Times New Roman" w:hAnsi="Times New Roman"/>
          <w:color w:val="000000"/>
          <w:sz w:val="20"/>
        </w:rPr>
        <w:t>manufacturing, citing alleged violations of cGMP requirements in connection with an FDA inspection at our Watertown facility in February 2024 and our fully executed plan which implemented the corrective and preventive actions required by the Warning Letter;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 that we will continue to incur significant expenses and that our operating losses and our net cash outflows to fund operations will continue for the foreseeable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“likely”, “expect”, “intend”, “anticipate”, “believe”, “estimate”, “plan”, “project”, “forecast”, and “outlook”.</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risks and uncertainties include the timing, progress and results of our clinical development activities;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uncertainties and delays relating to communications with the FDA and the ability to obtain regulatory approval from FDA for the commercialization of DURAVYU;</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sufficiency of our existing cash resources;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access to needed capital;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risk that results of clinical trials may not be predictive of future results, and interim and preliminary data are subject to further analysis and may change as more data becomes available;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unexpected safety or efficacy data observed during clinical trials;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uncertainties related to the regulatory authorization or approval process, and available development and regulatory pathways for approval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disruptions at the FDA;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regulatory and legislative environment;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U.S. and international trade policies;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expected or existing competition;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fluctuations in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dependence on contract research organizations, vendors, and clinical investigators;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manufacture clinical supply of our product candidates;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our ability to manufacture commercial supply of YUTIQ</w:t>
      </w:r>
      <w:r>
        <w:rPr>
          <w:rFonts w:ascii="Times New Roman" w:hAnsi="Times New Roman"/>
          <w:color w:val="000000"/>
          <w:sz w:val="13"/>
        </w:rPr>
        <w:t>®</w:t>
      </w:r>
      <w:r>
        <w:rPr>
          <w:color w:val="000000"/>
        </w:rPr>
        <w:t xml:space="preserve"> </w:t>
      </w:r>
      <w:r>
        <w:rPr>
          <w:rFonts w:ascii="Times New Roman" w:hAnsi="Times New Roman"/>
          <w:color w:val="000000"/>
          <w:sz w:val="20"/>
        </w:rPr>
        <w:t>and DEXYCU</w:t>
      </w:r>
      <w:r>
        <w:rPr>
          <w:rFonts w:ascii="Times New Roman" w:hAnsi="Times New Roman"/>
          <w:color w:val="000000"/>
          <w:sz w:val="13"/>
        </w:rPr>
        <w:t>®</w:t>
      </w:r>
      <w:r>
        <w:rPr>
          <w:color w:val="000000"/>
        </w:rPr>
        <w:t xml:space="preserve"> </w:t>
      </w:r>
      <w:r>
        <w:rPr>
          <w:rFonts w:ascii="Times New Roman" w:hAnsi="Times New Roman"/>
          <w:color w:val="000000"/>
          <w:sz w:val="20"/>
        </w:rPr>
        <w:t>in fulfillment of our Ocumension Agreement;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extent to which the global economic conditions, uncertainty caused by geopolitical violence and unrest and public health crises impact our business, the medical community, and the global economy;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acceptance of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protection of intellectual property and avoiding intellectual property infringement;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implement corrective and preventive actions required by the Warning Letter to the satisfaction of the FDA;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comply with our obligations under the Corporate Integrity Agreement with the Office of Inspector General of the Department of Health and Human Services;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liability;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factors described in our filings with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2025, as supplemented by the risks set forth under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pStyle w:val="TextBody"/>
        <w:bidi w:val="0"/>
        <w:spacing w:before="200" w:after="283"/>
        <w:jc w:val="left"/>
        <w:rPr>
          <w:rFonts w:ascii="Times New Roman" w:hAnsi="Times New Roman"/>
          <w:sz w:val="20"/>
        </w:rPr>
      </w:pPr>
      <w:r>
        <w:rPr>
          <w:rFonts w:ascii="Times New Roman" w:hAnsi="Times New Roman"/>
          <w:color w:val="000000"/>
          <w:sz w:val="20"/>
        </w:rPr>
        <w:t>EYEPOINT</w:t>
      </w:r>
      <w:r>
        <w:rPr>
          <w:rFonts w:ascii="Times New Roman" w:hAnsi="Times New Roman"/>
          <w:color w:val="000000"/>
          <w:sz w:val="13"/>
        </w:rPr>
        <w:t>®</w:t>
      </w:r>
      <w:r>
        <w:rPr>
          <w:rFonts w:ascii="Times New Roman" w:hAnsi="Times New Roman"/>
          <w:color w:val="000000"/>
          <w:sz w:val="20"/>
        </w:rPr>
        <w:t>, DEXYCU</w:t>
      </w:r>
      <w:r>
        <w:rPr>
          <w:rFonts w:ascii="Times New Roman" w:hAnsi="Times New Roman"/>
          <w:color w:val="000000"/>
          <w:sz w:val="13"/>
        </w:rPr>
        <w:t>®</w:t>
      </w:r>
      <w:r>
        <w:rPr>
          <w:rFonts w:ascii="Times New Roman" w:hAnsi="Times New Roman"/>
          <w:color w:val="000000"/>
          <w:sz w:val="20"/>
        </w:rPr>
        <w:t>, Durasert</w:t>
      </w:r>
      <w:r>
        <w:rPr>
          <w:rFonts w:ascii="Times New Roman" w:hAnsi="Times New Roman"/>
          <w:color w:val="000000"/>
          <w:sz w:val="13"/>
        </w:rPr>
        <w:t>®</w:t>
      </w:r>
      <w:r>
        <w:rPr>
          <w:rFonts w:ascii="Times New Roman" w:hAnsi="Times New Roman"/>
          <w:color w:val="000000"/>
          <w:sz w:val="20"/>
        </w:rPr>
        <w:t>, Durasert E, DELIVERING INNOVATION TO THE EYE</w:t>
      </w:r>
      <w:r>
        <w:rPr>
          <w:rFonts w:ascii="Times New Roman" w:hAnsi="Times New Roman"/>
          <w:color w:val="000000"/>
          <w:sz w:val="13"/>
        </w:rPr>
        <w:t xml:space="preserve">® </w:t>
      </w:r>
      <w:r>
        <w:rPr>
          <w:rFonts w:ascii="Times New Roman" w:hAnsi="Times New Roman"/>
          <w:color w:val="000000"/>
          <w:sz w:val="20"/>
        </w:rPr>
        <w:t>and WITH AN EYE ON PATIENTS</w:t>
      </w:r>
      <w:r>
        <w:rPr>
          <w:rFonts w:ascii="Times New Roman" w:hAnsi="Times New Roman"/>
          <w:color w:val="000000"/>
          <w:sz w:val="13"/>
        </w:rPr>
        <w:t>®</w:t>
      </w:r>
      <w:r>
        <w:rPr>
          <w:rFonts w:ascii="Times New Roman" w:hAnsi="Times New Roman"/>
          <w:color w:val="000000"/>
          <w:sz w:val="20"/>
        </w:rPr>
        <w:t xml:space="preserve"> are our trademarks. ILUVIEN</w:t>
      </w:r>
      <w:r>
        <w:rPr>
          <w:rFonts w:ascii="Times New Roman" w:hAnsi="Times New Roman"/>
          <w:color w:val="000000"/>
          <w:sz w:val="13"/>
        </w:rPr>
        <w:t>®</w:t>
      </w:r>
      <w:r>
        <w:rPr>
          <w:rFonts w:ascii="Times New Roman" w:hAnsi="Times New Roman"/>
          <w:color w:val="000000"/>
          <w:sz w:val="20"/>
        </w:rPr>
        <w:t xml:space="preserve"> is ANI’s trademark. We assigned our trademarks for YUTIQ to Alimera Sciences, Inc. (which was acquired by ANI) and to Ocumension Therapeutics in their respective territories. The reports we file or furnish with the SEC, including this Quarterly Report on Form 10-Q, also contain trademarks, trade names, and service marks of other companies, which are the property of their respective owners.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clinical-stage biopharmaceutical company committed to developing and commercializing innovative therapeutics to improve the lives of patients with serious retinal diseases. Our pipeline leverages proprietary bioerodible Durasert E technology (Durasert E) for sustained intraocular drug delivery. Our lead product candidate, DURAVYU (a/k/a EYP-1901), is an investigational sustained delivery treatment for vascular endothelial growth factor (VEGF) mediated retinal diseases combining vorolanib, a selective and patent-protected tyrosine kinase inhibitor (TKI) with Durasert E. EyePoint is headquartered in Watertown, Massachusetts and has a commercial manufacturing facility in Northbridge, Massachusetts.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DURAVYU brings a potential new multi-mechanism of action paradigm for the treatment of retinal diseases as vorolanib, the active drug in DURAVYU, acts through intracellular inhibition of all VEGF receptors, platelet-derived growth factor (PDGF) receptor, and pro-inflammatory interleukin 6 (IL-6)/JAK1 signaling. Vorolanib has also demonstrated neuroprotection in an </w:t>
      </w:r>
      <w:r>
        <w:rPr>
          <w:rFonts w:ascii="Times New Roman" w:hAnsi="Times New Roman"/>
          <w:i/>
          <w:color w:val="000000"/>
          <w:sz w:val="20"/>
        </w:rPr>
        <w:t>in vivo</w:t>
      </w:r>
      <w:r>
        <w:rPr>
          <w:rFonts w:ascii="Times New Roman" w:hAnsi="Times New Roman"/>
          <w:color w:val="000000"/>
          <w:sz w:val="20"/>
        </w:rPr>
        <w:t xml:space="preserve"> model of retinal detachment.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DURAVYU is being evaluated in Phase 3 clinical trials for the potential treatment of wet AMD and DME, the two largest retinal disease markets. Enrollment in the pivotal Phase 3 clinical trials for wet AMD is complete with initial data expected in August 2026. The first patients were dosed in both DME trials in February 2026, and enrollment completion was announced in July 2026. The initial data readout for the DME program is expected in the fourth quarter of 2027.</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13, 2026, we announced the appointment of Tarek S. Hassan, M.D., as Chief Strategic Science Officer.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2026 (the “Effective Date”) we entered into a settlement agreement (the “Settlement Agreement”) with the United States of America, acting through the DOJ and on behalf of HHS and the Defense Health Agency (“DHA”), acting on behalf of the TRICARE Program, and the relator named therein. Pursuant to the Settlement Agreement, we agreed,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things, to pay a settlement amount of $4,678,981.86, plus interest at a rate of 4.25% per annum from January 28, 2026 (the “Settlement Payment”). The Settlement Payment consisted of (i) $4,657,463.18 (plus interest) to be paid to the United States and (ii) $21,518.68 (plus interest) to be paid to certain participating states, in each case payable no later than 14 days after the Effective Date. In addition, we agreed to pay $166,500 for attorneys’ fees and costs to relator’s counsel no later than 60 days after the Effective Date. Conditioned upon payment of the Settlement Payment, the DOJ, OIG-HHS, DHA and the relator have agreed to release the Company and its subsidiaries from any civil or administrative monetary liability arising from the Covered Conduct (as defined in the Settlement Agreement), and the DOJ and the relator agreed to dismiss the civil action filed by the relator. In connection with the Settlement Agreement, on July 13, 2026, we entered into a Corporate Integrity Agreement (the “Corporate Integrity Agreement”) with HHS, which requires the Company to establish and maintain certain compliance programs for a five-year term, as more fully described in the Corporate Integrity Agreement. In exchange, HHS agreed not to seek the exclusion of our Company from participation in Medicare, Medicaid, or other federal health care programs as a result of the Covered Conduct.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On July 30, 2026, we announced enrollment was completed in both COMO and CAPRI, the pivotal Phase 3 trials of DURAVYU for the treatment of DME, with over 480 patients enrolled across both trials. Topline data for both DME trials are anticipated in the fourth quarter of 2027.</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R&amp;D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May 5, 2026, we presented new preclinical data at the Association for Research in Vision and Ophthalmology (ARVO) 2026 Annual Meeting that further demonstrates vorolanib’s inhibition of pro-inflammatory IL-6 signaling.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color w:val="000000"/>
          <w:sz w:val="20"/>
        </w:rPr>
        <w:t xml:space="preserve">Through extensive </w:t>
      </w:r>
      <w:r>
        <w:rPr>
          <w:rFonts w:ascii="Times New Roman" w:hAnsi="Times New Roman"/>
          <w:i/>
          <w:color w:val="000000"/>
          <w:sz w:val="20"/>
        </w:rPr>
        <w:t>in vitro</w:t>
      </w:r>
      <w:r>
        <w:rPr>
          <w:color w:val="000000"/>
        </w:rPr>
        <w:t xml:space="preserve"> </w:t>
      </w:r>
      <w:r>
        <w:rPr>
          <w:rFonts w:ascii="Times New Roman" w:hAnsi="Times New Roman"/>
          <w:color w:val="000000"/>
          <w:sz w:val="20"/>
        </w:rPr>
        <w:t>and</w:t>
      </w:r>
      <w:r>
        <w:rPr>
          <w:color w:val="000000"/>
        </w:rPr>
        <w:t xml:space="preserve"> </w:t>
      </w:r>
      <w:r>
        <w:rPr>
          <w:rFonts w:ascii="Times New Roman" w:hAnsi="Times New Roman"/>
          <w:i/>
          <w:color w:val="000000"/>
          <w:sz w:val="20"/>
        </w:rPr>
        <w:t>in vivo</w:t>
      </w:r>
      <w:r>
        <w:rPr>
          <w:color w:val="000000"/>
        </w:rPr>
        <w:t xml:space="preserve"> </w:t>
      </w:r>
      <w:r>
        <w:rPr>
          <w:rFonts w:ascii="Times New Roman" w:hAnsi="Times New Roman"/>
          <w:color w:val="000000"/>
          <w:sz w:val="20"/>
        </w:rPr>
        <w:t>studies, vorolanib was identified as a potent inhibitor of JAK1, a critical transducer of IL-6 signaling. These data further highlight DURAVYU's multi-mechanism of action and its potential to deliver a synergistic anti-inflammatory effect alongside its established VEGF receptor and PDGF receptor inhibition in the treatment of wet AMD and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May 14, 2026, we announced a positive recommendation from the independent Data Safety Monitoring Committee (DSMC) following completion of its third scheduled review of the Company’s ongoing pivotal Phase 3 program evaluating DURAVYU for the treatment of wet AMD.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July 2026, we delivered multiple oral presentations at the American Society of Retina Specialists (“ASRS”) Annual Meeting supporting DURAVYU’s potentially best-in-class therapeutic profile as a sustained release TKI being developed for multiple indications: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characterization of the multi-mechanism of action of DURAVYU in retinal exudative diseases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Overview of key learnings from the Phase 2 DAVIO 2 clinical trial in wet AMD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Post-hoc analyses of patients from the Phase 2 DAVIO 2 clinical trial who met Phase 3 criteria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Overview of DME clinical program and key learnings: from the Phase 2 VERONA trial to pivotal Phase 3</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were accepted to deliver multiple presentations at the Retina Society Annual Meeting in September, underscoring the multi-modal activity and broad treatment potential of DURAVYU and enthusiasm from the retinal community for new treatment options in multiple serious retinal diseases. This will be the first conference where LUGANO data will be presented to the retinal community.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that we make certain estimates, judgments, and assumptions that affect the reported amounts of assets, liabilities, revenues, and expenses. We base our estimates, judgments, and assumptions on historical experience, anticipated results, and trends, and on various other factors that we believe are reasonable under the circumstances at the time. By their nature, these estimates, judgments, and assumptions are subject to an inherent degree of uncertainty. Actual results may differ from our estimates under different assumptions or conditions. In our Annual Report on Form 10-K for the fiscal year ended December 31, 2025, we set forth our critical accounting policies and estimates, which included revenue recognition and recognition of expense in outsourced clinical trial agreements. See Note 2 of the notes to our unaudited condensed consolidated financial statements contained in this Quarterly Report on Form 10-Q for a description of our accounting policies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40"/>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 (In thousands except share data and percentages:</w:t>
      </w:r>
    </w:p>
    <w:tbl>
      <w:tblPr>
        <w:tblW w:w="9962" w:type="dxa"/>
        <w:jc w:val="left"/>
        <w:tblInd w:w="0" w:type="dxa"/>
        <w:tblLayout w:type="fixed"/>
        <w:tblCellMar>
          <w:top w:w="28" w:type="dxa"/>
          <w:left w:w="28" w:type="dxa"/>
          <w:bottom w:w="28" w:type="dxa"/>
          <w:right w:w="28" w:type="dxa"/>
        </w:tblCellMar>
      </w:tblPr>
      <w:tblGrid>
        <w:gridCol w:w="4696"/>
        <w:gridCol w:w="146"/>
        <w:gridCol w:w="211"/>
        <w:gridCol w:w="736"/>
        <w:gridCol w:w="166"/>
        <w:gridCol w:w="146"/>
        <w:gridCol w:w="211"/>
        <w:gridCol w:w="736"/>
        <w:gridCol w:w="166"/>
        <w:gridCol w:w="146"/>
        <w:gridCol w:w="211"/>
        <w:gridCol w:w="736"/>
        <w:gridCol w:w="166"/>
        <w:gridCol w:w="146"/>
        <w:gridCol w:w="146"/>
        <w:gridCol w:w="481"/>
        <w:gridCol w:w="7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License and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License and collaboration agreement revenue decreased by $4.8 million, or 90%, to $0.5 million for the three months ended June 30, 2026 compared to the same period the prior year. This decrease was primarily driven by the recognition of remaining deferred revenue related to our 2023 agreement for the license of YUTIQ® product rights in the second quarter of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sales remained immaterial for the three months ended June 30, 2026 compared to the same period the prior year.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w:t>
      </w:r>
    </w:p>
    <w:tbl>
      <w:tblPr>
        <w:tblW w:w="7560" w:type="dxa"/>
        <w:jc w:val="left"/>
        <w:tblInd w:w="0" w:type="dxa"/>
        <w:tblLayout w:type="fixed"/>
        <w:tblCellMar>
          <w:top w:w="28" w:type="dxa"/>
          <w:left w:w="28" w:type="dxa"/>
          <w:bottom w:w="28" w:type="dxa"/>
          <w:right w:w="28" w:type="dxa"/>
        </w:tblCellMar>
      </w:tblPr>
      <w:tblGrid>
        <w:gridCol w:w="4591"/>
        <w:gridCol w:w="146"/>
        <w:gridCol w:w="211"/>
        <w:gridCol w:w="676"/>
        <w:gridCol w:w="166"/>
        <w:gridCol w:w="146"/>
        <w:gridCol w:w="211"/>
        <w:gridCol w:w="676"/>
        <w:gridCol w:w="146"/>
        <w:gridCol w:w="5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DURAVYU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direct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$28.1 million, or 51%, to $83.6 million for the three months ended June 30, 2026 compared to the same period the prior year. This increase was primarily attributable to ongoing DURAVYU Phase 3 clinical trials for wet AMD and DME and scale-up of the Northbridge commercial manufacturing facility.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and marketing expenses remained consistent and immaterial for the three months ended June 30, 2026 compared to the same period the prior year.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increased by $2.4 million, or 20%, to $14.2 million for the three months ended June 30, 2026 compared to the same period the prior year. This increase was primarily attributable to increased personnel costs, including non-cash stock compensation.</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income remained consistent for the three months ended June 30, 2026 compared to the same period the prior year.</w:t>
      </w:r>
    </w:p>
    <w:p>
      <w:pPr>
        <w:pStyle w:val="TextBody"/>
        <w:bidi w:val="0"/>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40"/>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 (In thousands except share data and percentages:</w:t>
      </w:r>
    </w:p>
    <w:tbl>
      <w:tblPr>
        <w:tblW w:w="10172" w:type="dxa"/>
        <w:jc w:val="left"/>
        <w:tblInd w:w="0" w:type="dxa"/>
        <w:tblLayout w:type="fixed"/>
        <w:tblCellMar>
          <w:top w:w="28" w:type="dxa"/>
          <w:left w:w="28" w:type="dxa"/>
          <w:bottom w:w="28" w:type="dxa"/>
          <w:right w:w="28" w:type="dxa"/>
        </w:tblCellMar>
      </w:tblPr>
      <w:tblGrid>
        <w:gridCol w:w="4696"/>
        <w:gridCol w:w="146"/>
        <w:gridCol w:w="211"/>
        <w:gridCol w:w="841"/>
        <w:gridCol w:w="166"/>
        <w:gridCol w:w="146"/>
        <w:gridCol w:w="211"/>
        <w:gridCol w:w="841"/>
        <w:gridCol w:w="166"/>
        <w:gridCol w:w="146"/>
        <w:gridCol w:w="211"/>
        <w:gridCol w:w="736"/>
        <w:gridCol w:w="166"/>
        <w:gridCol w:w="146"/>
        <w:gridCol w:w="146"/>
        <w:gridCol w:w="481"/>
        <w:gridCol w:w="7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Product Sales,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sales, net decreased by $0.2 million, or 35%, to $0.5 million for the six months ended June 30, 2026 compared to the same period the prior year. This decrease was primarily attributable to the termination of the ANI commercial supply agreement (CSA) in the second quarter of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License and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License and collaboration agreement revenue decreased by $15.7 million, or 96%, to $0.6 million for the six months ended June 30, 2026 compared to the same period the prior year. This decrease was primarily driven by the recognition of remaining deferred revenue related to our 2023 agreement for the license of YUTIQ® product rights in the second quarter of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Royalty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Royalty income decreased by $12.6 million, or 99%, to $0.1 million for the six months ended June 30, 2026 compared to the same period the prior year. This decrease was due to the termination of the SWK royalty purchase agreement (RPA) on March 18,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sales decreased by $0.4 million, or 45%, to $0.5 million for the six months ended June 30, 2026 compared to the same period the prior year. This decrease was primarily attributable to lower commercial product sales year over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tbl>
      <w:tblPr>
        <w:tblW w:w="7604" w:type="dxa"/>
        <w:jc w:val="left"/>
        <w:tblInd w:w="0" w:type="dxa"/>
        <w:tblLayout w:type="fixed"/>
        <w:tblCellMar>
          <w:top w:w="28" w:type="dxa"/>
          <w:left w:w="28" w:type="dxa"/>
          <w:bottom w:w="28" w:type="dxa"/>
          <w:right w:w="28" w:type="dxa"/>
        </w:tblCellMar>
      </w:tblPr>
      <w:tblGrid>
        <w:gridCol w:w="4591"/>
        <w:gridCol w:w="146"/>
        <w:gridCol w:w="211"/>
        <w:gridCol w:w="781"/>
        <w:gridCol w:w="146"/>
        <w:gridCol w:w="146"/>
        <w:gridCol w:w="211"/>
        <w:gridCol w:w="781"/>
        <w:gridCol w:w="5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DURAVYU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direct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$41.7 million, or 37%, to $155.8 million for the six months ended June 30, 2026 compared to the same period the prior year. This increase was primarily attributable to ongoing DURAVYU Phase 3 clinical trials for wet AMD and DME and scale-up of the Northbridge commercial manufacturing facility.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and marketing expenses remained consistent and immaterial for the six months ended June 30, 2026 compared to the same period the prior year.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increased by $3.7 million, or 15%, to $29.5 million for the six months ended June 30, 2026 compared to the same period the prior year. This increase was primarily attributable to increased personnel costs, including non-cash stock compensation.</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income decreased by $1.3 million, or 20%, to $5.3 million for the six months ended June 30, 2026 compared to the same period the prior year. This decrease was primarily driven by lower cash available for investment in marketable securities.</w:t>
      </w:r>
    </w:p>
    <w:p>
      <w:pPr>
        <w:pStyle w:val="TextBody"/>
        <w:bidi w:val="0"/>
        <w:spacing w:before="20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had a history of operating losses and an absence of significant recurring cash inflows from revenue, and at June 30, 2026 we had a total accumulated deficit of $1,284.3 million. Our operations have been financed primarily from sales of our equity securities, issuance of debt and a combination of license fees, milestone payments, royalty income and other fees received from collaboration partners.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August 2020, we entered into an at-the-market facility (the ATM Facility) with Cantor Fitzgerald &amp; Co (Cantor). Pursuant to the ATM Facility, we may, at our option, offer and sell shares of its common stock from time to time, through or to Cantor, acting as sales agent. We will pay Cantor a commission of 3.0% of the gross proceeds from any future sales of such shares.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2026, we sold 1,429,047 shares of common stock under the ATM Facility at a weighted average price of $14.16 per share for gross proceeds of approximately $20.2 million. Share issue costs, including sales agent commissions, totaled approximately $0.7 million. During July 2026, we sold 1,208,718 shares of common stock under the ATM Facility at a weighted average price of $14.44 per share for gross proceeds of approximately $17.5 million. Share issue costs, including sales agent commissions, totaled approximately $0.5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2025, we did not sell any shares of its common stock under the ATM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we had cash, cash equivalents, and investments in marketable securities of $180.5 million. We expect that our cash and investments in marketable securities will enable us to fund our operations into the fourth quarter of 2027. Due to the difficulty and uncertainty associated with the design and implementation of clinical trials, we will continue to assess our cash and cash equivalents, investments in marketable securities, and future funding requirements. However, there is no assurance that additional funding will be achieved and that we will succeed in our future operations. 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any of our product candidates, we will incur significant sales, marketing, compliance, and manufacturing expenses. We also expect to continue to incur significant costs to comply with corporate governance, internal controls, and similar requirements associated with operating as a public reporting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cash requirements could differ from management’s projections due to many factors including additional investments in research and development programs, clinical trial expenses for DURAVYU, competing technological and market developments and the costs of any strategic acquisitions and/or development of complementary business opportunities.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of additional capital we will require will be influenced by many factors, including, but not limited to:</w:t>
      </w:r>
    </w:p>
    <w:p>
      <w:pPr>
        <w:pStyle w:val="TextBody"/>
        <w:bidi w:val="0"/>
        <w:spacing w:before="120" w:after="283"/>
        <w:jc w:val="left"/>
        <w:rPr>
          <w:rFonts w:ascii="Symbol;serif" w:hAnsi="Symbol;serif"/>
          <w:color w:val="000000"/>
          <w:sz w:val="20"/>
        </w:rPr>
      </w:pPr>
      <w:r>
        <w:rPr>
          <w:rFonts w:ascii="Symbol;serif" w:hAnsi="Symbol;serif"/>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clinical trials of DURAVYU for wet AMD and DME;</w:t>
      </w:r>
    </w:p>
    <w:p>
      <w:pPr>
        <w:pStyle w:val="TextBody"/>
        <w:bidi w:val="0"/>
        <w:spacing w:before="0" w:after="0"/>
        <w:jc w:val="left"/>
        <w:rPr>
          <w:rFonts w:ascii="Symbol;serif" w:hAnsi="Symbol;serif"/>
          <w:color w:val="000000"/>
          <w:sz w:val="20"/>
        </w:rPr>
      </w:pPr>
      <w:r>
        <w:rPr>
          <w:rFonts w:ascii="Symbol;serif" w:hAnsi="Symbol;serif"/>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timing and clinical development of our product candidates, including DURAVYU;</w:t>
      </w:r>
    </w:p>
    <w:p>
      <w:pPr>
        <w:pStyle w:val="TextBody"/>
        <w:bidi w:val="0"/>
        <w:spacing w:before="0" w:after="0"/>
        <w:jc w:val="left"/>
        <w:rPr>
          <w:rFonts w:ascii="Symbol;serif" w:hAnsi="Symbol;serif"/>
          <w:color w:val="000000"/>
          <w:sz w:val="20"/>
        </w:rPr>
      </w:pPr>
      <w:r>
        <w:rPr>
          <w:rFonts w:ascii="Symbol;serif" w:hAnsi="Symbol;serif"/>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plans about whether, when, and how to fund and conduct additional pipeline product development programs; </w:t>
      </w:r>
    </w:p>
    <w:p>
      <w:pPr>
        <w:pStyle w:val="TextBody"/>
        <w:bidi w:val="0"/>
        <w:spacing w:before="0" w:after="0"/>
        <w:jc w:val="left"/>
        <w:rPr>
          <w:rFonts w:ascii="Symbol;serif" w:hAnsi="Symbol;serif"/>
          <w:color w:val="000000"/>
          <w:sz w:val="20"/>
        </w:rPr>
      </w:pPr>
      <w:r>
        <w:rPr>
          <w:rFonts w:ascii="Symbol;serif" w:hAnsi="Symbol;serif"/>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payments we receive under any new collaboration agreements or payments expected from existing agreements;</w:t>
      </w:r>
    </w:p>
    <w:p>
      <w:pPr>
        <w:pStyle w:val="TextBody"/>
        <w:bidi w:val="0"/>
        <w:spacing w:before="0" w:after="0"/>
        <w:jc w:val="left"/>
        <w:rPr>
          <w:rFonts w:ascii="Symbol;serif" w:hAnsi="Symbol;serif"/>
          <w:color w:val="000000"/>
          <w:sz w:val="20"/>
        </w:rPr>
      </w:pPr>
      <w:r>
        <w:rPr>
          <w:rFonts w:ascii="Symbol;serif" w:hAnsi="Symbol;serif"/>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and when we are able to enter into strategic arrangements for our products or product candidates and the nature of those arrangements;</w:t>
      </w:r>
    </w:p>
    <w:p>
      <w:pPr>
        <w:pStyle w:val="TextBody"/>
        <w:bidi w:val="0"/>
        <w:spacing w:before="0" w:after="0"/>
        <w:jc w:val="left"/>
        <w:rPr>
          <w:rFonts w:ascii="Symbol;serif" w:hAnsi="Symbol;serif"/>
          <w:color w:val="000000"/>
          <w:sz w:val="20"/>
        </w:rPr>
      </w:pPr>
      <w:r>
        <w:rPr>
          <w:rFonts w:ascii="Symbol;serif" w:hAnsi="Symbol;serif"/>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any patent claims;</w:t>
      </w:r>
    </w:p>
    <w:p>
      <w:pPr>
        <w:pStyle w:val="TextBody"/>
        <w:bidi w:val="0"/>
        <w:spacing w:before="0" w:after="0"/>
        <w:jc w:val="left"/>
        <w:rPr>
          <w:rFonts w:ascii="Symbol;serif" w:hAnsi="Symbol;serif"/>
          <w:color w:val="000000"/>
          <w:sz w:val="20"/>
        </w:rPr>
      </w:pPr>
      <w:r>
        <w:rPr>
          <w:rFonts w:ascii="Symbol;serif" w:hAnsi="Symbol;serif"/>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and timing to implement corrective and preventive actions required by the Warning Letter to the satisfaction of the FDA;</w:t>
      </w:r>
    </w:p>
    <w:p>
      <w:pPr>
        <w:pStyle w:val="TextBody"/>
        <w:bidi w:val="0"/>
        <w:spacing w:before="0" w:after="0"/>
        <w:jc w:val="left"/>
        <w:rPr>
          <w:rFonts w:ascii="Symbol;serif" w:hAnsi="Symbol;serif"/>
          <w:color w:val="000000"/>
          <w:sz w:val="20"/>
        </w:rPr>
      </w:pPr>
      <w:r>
        <w:rPr>
          <w:rFonts w:ascii="Symbol;serif" w:hAnsi="Symbol;serif"/>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our operating plan, resulting in increases or decreases in our need for capital; and</w:t>
      </w:r>
    </w:p>
    <w:p>
      <w:pPr>
        <w:pStyle w:val="TextBody"/>
        <w:bidi w:val="0"/>
        <w:spacing w:before="0" w:after="0"/>
        <w:jc w:val="left"/>
        <w:rPr>
          <w:rFonts w:ascii="Symbol;serif" w:hAnsi="Symbol;serif"/>
          <w:color w:val="000000"/>
          <w:sz w:val="20"/>
        </w:rPr>
      </w:pPr>
      <w:r>
        <w:rPr>
          <w:rFonts w:ascii="Symbol;serif" w:hAnsi="Symbol;serif"/>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our views on the availability, timing, and desirability of raising capital.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seek additional funding to sustain our future operations and while we have successfully raised capital in the past, the ability to raise capital in future periods is not assured. We do not know if additional capital will be available when needed or on terms favorable to us or our stockholders. Collaboration, licensing or other agreements may not be available on favorable terms, or at all. If we seek to sell our equity securities, we do not know whether and to what extent we will be able to do so, or on what terms. If available, additional equity financing may be dilutive to stockholders, debt financing may involve restrictive covenants or other unfavorable terms and dilute our existing stockholders’ equity, and funding through collaboration, licensing or other commercial agreements may be on unfavorable terms, including requiring us to relinquish rights to certain of our technologies or products. If adequate financing is not available if and when needed, we may delay, reduce the scope of, or eliminate research or development programs, if any, postpone or cancel the pursuit of product candidates, or otherwise significantly curtail our operations to reduce our cash requirements and extend our capital.</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Our condensed consolidated statements of historical cash flows are summarized as follows (in thousands):</w:t>
      </w:r>
    </w:p>
    <w:tbl>
      <w:tblPr>
        <w:tblW w:w="8903" w:type="dxa"/>
        <w:jc w:val="left"/>
        <w:tblInd w:w="0" w:type="dxa"/>
        <w:tblLayout w:type="fixed"/>
        <w:tblCellMar>
          <w:top w:w="28" w:type="dxa"/>
          <w:left w:w="28" w:type="dxa"/>
          <w:bottom w:w="28" w:type="dxa"/>
          <w:right w:w="28" w:type="dxa"/>
        </w:tblCellMar>
      </w:tblPr>
      <w:tblGrid>
        <w:gridCol w:w="4971"/>
        <w:gridCol w:w="146"/>
        <w:gridCol w:w="196"/>
        <w:gridCol w:w="751"/>
        <w:gridCol w:w="166"/>
        <w:gridCol w:w="146"/>
        <w:gridCol w:w="196"/>
        <w:gridCol w:w="751"/>
        <w:gridCol w:w="166"/>
        <w:gridCol w:w="146"/>
        <w:gridCol w:w="196"/>
        <w:gridCol w:w="661"/>
        <w:gridCol w:w="41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adjustments to reconcile net loss to cash flows from</w:t>
              <w:br/>
              <w:t>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cash outflows for the six months ended June 30, 2026 totaled $142.9 million primarily due to our net loss of $179.3 million reduced by $21.1 million of non-cash expenses, which was primarily attributable to $22.0 million of stock-based compensation. We incurred cash inflows of $15.3 million in other working capital adjustments driven primarily by increased prepaid clinical expenses.</w:t>
      </w:r>
    </w:p>
    <w:p>
      <w:pPr>
        <w:pStyle w:val="TextBody"/>
        <w:bidi w:val="0"/>
        <w:spacing w:before="200" w:after="283"/>
        <w:jc w:val="left"/>
        <w:rPr>
          <w:rFonts w:ascii="Times New Roman" w:hAnsi="Times New Roman"/>
          <w:sz w:val="20"/>
        </w:rPr>
      </w:pPr>
      <w:r>
        <w:rPr>
          <w:rFonts w:ascii="Times New Roman" w:hAnsi="Times New Roman"/>
          <w:color w:val="000000"/>
          <w:sz w:val="20"/>
        </w:rPr>
        <w:t>Operating cash outflows for the six months ended June 30, 2025 totaled $115.7 million primarily due to our net loss of $104.6 million reduced by $12.7 million of non-cash expenses, which included $14.7 million of stock-based compensation, partially offset by $2.9 million for amortization of discount on available for sale of marketable securities. We incurred cash outflows related to changes in working capital of $23.8 million, which included $28.6 million of deferred revenue related to the agreement to license YUTIQ</w:t>
      </w:r>
      <w:r>
        <w:rPr>
          <w:rFonts w:ascii="Times New Roman" w:hAnsi="Times New Roman"/>
          <w:color w:val="000000"/>
          <w:sz w:val="13"/>
        </w:rPr>
        <w:t>®</w:t>
      </w:r>
      <w:r>
        <w:rPr>
          <w:rFonts w:ascii="Times New Roman" w:hAnsi="Times New Roman"/>
          <w:color w:val="000000"/>
          <w:sz w:val="20"/>
        </w:rPr>
        <w:t xml:space="preserve"> product rights to ANI offset by $4.8 million in other working capital adjustments.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$136.4 million of net cash was provided by investing activities from the sales of marketable securities and gain on equity investments, offset by $2.2 million used for the purchase of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2025, $89.4 million of net cash was provided by the sales of marketable securities, and $1.5 million was used for the purchase of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provided in financing activities for the six months ended June 30, 2026 totaled $17.4 million and consisted mainly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$19.6 million provided by net proceeds from the issuance of 1,429,047 shares of our common stock sold utilizing our ATM Facility;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 million provided by the exercise of stock options and employee stock purchase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$3.5 million used for the settlement of stock units to satisfy statutory tax withholding;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(iv)</w:t>
      </w:r>
    </w:p>
    <w:p>
      <w:pPr>
        <w:pStyle w:val="TextBody"/>
        <w:bidi w:val="0"/>
        <w:jc w:val="left"/>
        <w:rPr>
          <w:rFonts w:ascii="Times New Roman" w:hAnsi="Times New Roman"/>
          <w:color w:val="000000"/>
          <w:sz w:val="20"/>
        </w:rPr>
      </w:pPr>
      <w:r>
        <w:rPr>
          <w:rFonts w:ascii="Times New Roman" w:hAnsi="Times New Roman"/>
          <w:color w:val="000000"/>
          <w:sz w:val="20"/>
        </w:rPr>
        <w:t>$0.4 million used for payment of equity issue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six months ended June 30, 2025 totaled $0.7 million and consisted mainly of the following: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 million used for the settlement of stock units to satisfy statutory tax withholding;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$0.3 million used for payment of equity issue costs;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$0.9 million provided by the exercise of stock options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as amended, and are not required to provide the information under this item. </w:t>
      </w:r>
    </w:p>
    <w:p>
      <w:pPr>
        <w:pStyle w:val="TextBody"/>
        <w:bidi w:val="0"/>
        <w:spacing w:before="20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of June 30, 2026. The term "disclosure controls and procedures," as defined in Rules 13a-15(e) and 15d-15(e) under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particularly during the period in which this Quarterly Report on Form 10-Q was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its desired objectives, and our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covered by this Quarterly Report on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808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DOJ Subpoena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As previously reported, in August 2022, we received a subpoena from the U.S. Attorney’s Office for the District of Massachusetts (DOJ), seeking production of documents related to sales, marketing, and promotional practices, including as pertain to DEXYCU</w:t>
      </w:r>
      <w:r>
        <w:rPr>
          <w:rFonts w:ascii="Times New Roman" w:hAnsi="Times New Roman"/>
          <w:color w:val="000000"/>
          <w:sz w:val="13"/>
        </w:rPr>
        <w:t>®</w:t>
      </w:r>
      <w:r>
        <w:rPr>
          <w:rFonts w:ascii="Times New Roman" w:hAnsi="Times New Roman"/>
          <w:color w:val="000000"/>
          <w:sz w:val="20"/>
        </w:rPr>
        <w:t xml:space="preserve">, which we commercialized from 2019 to 2023 (the “DOJ Subpoena”). More information pertaining to the DOJ Subpoena can be found in </w:t>
      </w:r>
      <w:r>
        <w:rPr>
          <w:rFonts w:ascii="Times New Roman" w:hAnsi="Times New Roman"/>
          <w:i/>
          <w:color w:val="000000"/>
          <w:sz w:val="20"/>
        </w:rPr>
        <w:t>Note 12. Contingencies</w:t>
      </w:r>
      <w:r>
        <w:rPr>
          <w:rFonts w:ascii="Times New Roman" w:hAnsi="Times New Roman"/>
          <w:color w:val="000000"/>
          <w:sz w:val="20"/>
        </w:rPr>
        <w:t xml:space="preserve">, to the Notes to Consolidated Financial Statements (Part I, Item 1 of this Quarterly Report on Form 10-Q).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Ocular Therapeutix,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20, 2026, we filed a complaint (the “Complaint”) against Ocular Therapeutix, Inc. (“Ocular”) in the Middlesex County Superior Court for the Commonwealth of Massachusetts (the “Court”). The Complaint alleges, among other things, Ocular's dissemination of false or misleading representations of fact concerning our company and the clinical results of our lead product candidate, DURAVYU (vorolanib intravitreal insert). The Complaint asserts several causes of action against Ocular, including defamation, commercial disparagement, violation of Mass. Gen. L. c. 93A, §§ 2 and 11, and tortious interference with advantageous business relations. We are seeking injunctive relief preventing Ocular from further disseminating the false or misleading representations of fact, requiring its public retraction of the false and misleading statements, monetary damages in the amount to be determined at trial, attorneys’ fees and costs, and such other relief that the court deems just and proper. Ocular filed its answer on April 13, 2026, seeking judgment in its favor, dismissal with prejudice of all claims, award of attorneys’ fees, costs, and expenses incurred in connection with the action, and such other and further relief as the court deems appropriate. On April 13, 2026, the Court declined to impose a temporary restraining order, but convened a preliminary injunction hearing that began on May 5, 2026 and continued on July 7, 2026. The Court has taken EyePoint's motion for a preliminary injunction under advisement.</w:t>
      </w:r>
    </w:p>
    <w:p>
      <w:pPr>
        <w:pStyle w:val="TextBody"/>
        <w:bidi w:val="0"/>
        <w:spacing w:before="20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section augments and updates certain risk factors disclosed in Item 1A of Part I of our Annual Report on Form 10-K for the year ended December 31, 2025 (the Annual Report). The following risk factors should be read together with the other risk factors disclosed in the Annual Report. In addition to the other information in this Quarterly Report on Form 10-Q, all of the risk factors should be carefully considered in evaluating us and our common stock. Any of these risks, many of which are beyond our control, could materially and adversely affect our financial condition, results of operations or cash flows, or cause our actual results to differ materially from those projected in any forward-looking statements. We may also face other risks and uncertainties that are not presently known, are not currently believed to be material, or are not identified below because they are common to all businesses. Past financial performance may not be a reliable indicator of future performance, and historical trends should not be used to anticipate results or trends in future periods. For more information, see “Note Regarding Forward-Looking Statements” in this Quarterly Report on Form 10-Q.</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The trading price of the shares of our common stock has been highly volatile, and purchasers of our common stock could incur substantial losses.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price of our common stock is highly volatile and may be affected by developments directly affecting our business, as well as by developments out of our control or not specific to us. The pharmaceutical and biotechnology industries, in particular, and the stock market generally, are vulnerable to abrupt changes in investor sentiment. Prices of securities and trading volumes of companies in the pharmaceutical and biotechnology industries, including ours, can swing dramatically in ways unrelated to, or that bear a disproportionate relationship to, our performance. The price of our common stock and their trading volumes may fluctuate based on a number of factors including, but not limited to: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clinical trials and their results, and other product and technological developments and innovations;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costs and progress of our commercialization efforts;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FDA and other domestic and international governmental regulatory actions, receipt and timing of approvals of our product candidates, and any denials and withdrawal of approvals;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duration, scope, and outcome of any governmental inquiries or investigations;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competitive factors, including the commercialization of new products in our markets by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statements, interviews, presentations, publications or other communications by third parties, including competitors, whether accurate or inaccurate, that may be perceived as negative with respect to us, our business, our product candidates, our preclinical and clinical data, or our prospects;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advancements with respect to treatment of the diseases targeted by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developments relating to, and actions by, our collaborative partners, including execution, amendment and termination of agreements, achievement of milestones and receipt of payments;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our collaborative partners in marketing any approved products and the amount and timing of payments to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availability and cost of capital and our financial and operating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actions with respect to pricing, reimbursement and coverage, and changes in reimbursement policies or other practices relating to our products or the pharmaceutical or biotechnology industries generally;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meeting, exceeding or failing to meet analysts’ or investors’ expectations, and changes in evaluations and recommendations by securities analysts;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use of social media platforms by customers, or investors;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issuance of additional shares upon the exercise of currently outstanding options or warrants or upon the settlement of stock units;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sales of substantial amounts of shares of our common stock in the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economic, industry and market conditions, changes or trends;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factors unrelated to us or the pharmaceutical and biotechnology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low trading volume in our common stock may increase their price volatility. Holders of our common stock may not be able to liquidate their positions at the desired time or price.</w:t>
      </w:r>
    </w:p>
    <w:p>
      <w:pPr>
        <w:pStyle w:val="TextBody"/>
        <w:bidi w:val="0"/>
        <w:jc w:val="left"/>
        <w:rPr>
          <w:rFonts w:ascii="Times New Roman" w:hAnsi="Times New Roman"/>
          <w:b/>
          <w:i/>
          <w:color w:val="000000"/>
          <w:sz w:val="20"/>
        </w:rPr>
      </w:pPr>
      <w:r>
        <w:rPr>
          <w:rFonts w:ascii="Times New Roman" w:hAnsi="Times New Roman"/>
          <w:b/>
          <w:i/>
          <w:color w:val="000000"/>
          <w:sz w:val="20"/>
        </w:rPr>
        <w:t>We have initiated legal proceedings and may in the future become subject to litigation, which could harm our business, financial condition, stock price and reputation.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involved, and may become involved in the future, in disputes and other legal proceedings that could be costly and time-consuming to prosecute or defend and result in unfavorable outcomes, which may have a material adverse effect on our business, operating results and financial condition, and negatively affect the price of our common stock. For example, on March 20, 2026, we filed a complaint against Ocular Therapeutix, Inc. (“Ocular”), in the Middlesex County Superior Court for the Commonwealth of Massachusetts. The complaint alleges, among other things, Ocular’s dissemination of false or misleading representations of fact concerning our company and the clinical results of DURAVYU, our lead product candidate (the “Ocular Litigation”). The complaint asserts several causes of action against Ocular, including defamation, commercial disparagement, violation of Mass. Gen. L. c. 93A, §§ 2 and 11, and tortious interference with advantageous business relations. We are seeking injunctive relief preventing Ocular from further disseminating the false or misleading representations of fact, requiring its public retraction of the false and misleading statements, monetary damages in the amount to be determined at trial, attorneys’ fees and costs, and such other relief that the court deems just and proper. Ocular filed its answer on April 13, 2026, seeking judgment in its favor, dismissal with prejudice of all claims, award of attorneys’ fees, costs, and expenses incurred in connection with the action, and such other and further relief as the court deems appropriate. We cannot predict whether the Ocular Litigation or any future legal matter will be resolved favorably for us. Legal proceedings in general, regardless of their merits or their ultimate outcomes, can be expensive and time-consuming to bring or defend against, requiring us to expend significant resources and divert the effort and attention of our management and other personnel from our business operations. The Ocular Litigation and any future litigation may adversely affect our business, results of operations, financial condition, prospects, and stock price. Furthermore, publicity surrounding legal proceedings, even if resolved favorably for us, could result in additional legal proceedings, damage to our reputation and cause volatility in our stock price.</w:t>
      </w:r>
    </w:p>
    <w:p>
      <w:pPr>
        <w:pStyle w:val="TextBody"/>
        <w:bidi w:val="0"/>
        <w:spacing w:before="20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Company permits officers and directors to adopt written trading plans, known as “Rule 10b5-1 trading arrangements”, as such term defined in Item 408(a) of Regulation S-K for the purchase or sale of the Company's securities, which are intended to satisfy the affirmative defense conditions of Rule 10b5-1(c) under the Exchange Act. During the three months ended June 30, 2026, none of our executive officers and directors adopted, modified or terminated Rule 10b5-1 trading arrangements for the purchase or sale of our common stock.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753"/>
        <w:gridCol w:w="146"/>
        <w:gridCol w:w="6580"/>
        <w:gridCol w:w="146"/>
        <w:gridCol w:w="747"/>
        <w:gridCol w:w="151"/>
        <w:gridCol w:w="720"/>
        <w:gridCol w:w="151"/>
        <w:gridCol w:w="811"/>
      </w:tblGrid>
      <w:tr>
        <w:trPr/>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 to SEC Filing</w:t>
            </w:r>
          </w:p>
        </w:tc>
      </w:tr>
      <w:tr>
        <w:trPr/>
        <w:tc>
          <w:tcPr>
            <w:tcW w:w="753"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SEC Filing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Product Rights Agreement, dated May 17, 2023, by and between EyePoint Pharmaceuticals, Inc. and Alimera Sciences, Inc.</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05/18/23</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Incorporation of pSivida Corp.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8-K12G3</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06/19/08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the Certificate of Incorporation of pSivida Corp.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09/13/17</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Correction to Certificate of Amendment of the Certificate of Incorporation of pSivida Corp.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04/02/18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Certificate of Incorporation, as amended, of EyePoint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06/27/18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of the Certificate of Incorporation, as amended, of EyePoint Pharmaceuticals, Inc.</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06/23/20</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of the Certificate of Incorporation, as amended, of EyePoint Pharmaceuticals, Inc.</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Amendment to Certificate of Incorporation, as amended, of EyePoint,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12/08/25</w:t>
            </w:r>
          </w:p>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By-Laws of EyePoint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09/18/18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3.5</w:t>
            </w:r>
          </w:p>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No. 1 to the By-Laws of EyePoint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11/06/18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 2 to the By-Laws of EyePoint,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12/08/25</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Specimen Stock Certificate for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8-K12G3</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06/19/08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Pre-Funded Warrant to Purchase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11/19/21</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Pre-Funded Warrant to Purchase Common Stock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10/17/25</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EyePoint, Inc. Amendment No 3. to 2023 Long-Term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06/22/26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Settlement Agreement, dated July 17, 2026, by and among the United States of America, acting through the United States Department of Justice and on behalf of the Office of Inspector General of the Department of Health and Human Services and the Defense Health Agency, acting on behalf of the TRICARE Program, EyePoint, Inc., and the relator named therein, through their authorized representatives.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07/17/26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Corporate Integrity Agreement, dated July 13, 2026, by and among the Office of Inspector General of the Department of Health and Human Services and EyePoint,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07/17/26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w:anchor="eypt-ex10_4.htm">
              <w:r>
                <w:rPr>
                  <w:rStyle w:val="InternetLink"/>
                  <w:rFonts w:ascii="Times New Roman" w:hAnsi="Times New Roman"/>
                  <w:color w:val="0000FF"/>
                  <w:sz w:val="20"/>
                  <w:u w:val="single"/>
                </w:rPr>
                <w:t>Sixth Amendment to Lease, dated February 13, 2026, between GRE Riverworks, LLC and EyePoint,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w:anchor="eypt-ex31_1.htm">
              <w:r>
                <w:rPr>
                  <w:rStyle w:val="InternetLink"/>
                  <w:rFonts w:ascii="Times New Roman" w:hAnsi="Times New Roman"/>
                  <w:color w:val="0000FF"/>
                  <w:sz w:val="20"/>
                  <w:u w:val="single"/>
                </w:rPr>
                <w:t>Certification of Principal Executive Officer pursuant to Rule 13a-14(a) and Rule 15d-14(a) of the Securities Exchange Act, as amended,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0" w:type="dxa"/>
            <w:tcBorders/>
            <w:tcMar>
              <w:top w:w="0" w:type="dxa"/>
              <w:left w:w="0" w:type="dxa"/>
              <w:bottom w:w="0" w:type="dxa"/>
              <w:right w:w="0" w:type="dxa"/>
            </w:tcMar>
            <w:vAlign w:val="center"/>
          </w:tcPr>
          <w:p>
            <w:pPr>
              <w:pStyle w:val="TableContents"/>
              <w:bidi w:val="0"/>
              <w:spacing w:before="0" w:after="283"/>
              <w:jc w:val="left"/>
              <w:rPr/>
            </w:pPr>
            <w:hyperlink w:anchor="eypt-ex31_2.htm">
              <w:r>
                <w:rPr>
                  <w:rStyle w:val="InternetLink"/>
                  <w:rFonts w:ascii="Times New Roman" w:hAnsi="Times New Roman"/>
                  <w:color w:val="0000FF"/>
                  <w:sz w:val="20"/>
                  <w:u w:val="single"/>
                </w:rPr>
                <w:t>Certification of Principal Financial Officer pursuant to Rule 13a-14(a) and Rule 15d-14(a) of the Securities Exchange Act, as amended,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46"/>
        <w:gridCol w:w="8401"/>
        <w:gridCol w:w="146"/>
        <w:gridCol w:w="146"/>
        <w:gridCol w:w="146"/>
        <w:gridCol w:w="146"/>
        <w:gridCol w:w="146"/>
        <w:gridCol w:w="192"/>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hyperlink w:anchor="eyp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hyperlink w:anchor="eyp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7"/>
        <w:gridCol w:w="9448"/>
      </w:tblGrid>
      <w:tr>
        <w:trPr/>
        <w:tc>
          <w:tcPr>
            <w:tcW w:w="757" w:type="dxa"/>
            <w:tcBorders/>
            <w:vAlign w:val="center"/>
          </w:tcPr>
          <w:p>
            <w:pPr>
              <w:pStyle w:val="TableContents"/>
              <w:bidi w:val="0"/>
              <w:spacing w:before="0" w:after="283"/>
              <w:jc w:val="left"/>
              <w:rPr>
                <w:sz w:val="4"/>
                <w:szCs w:val="4"/>
              </w:rPr>
            </w:pPr>
            <w:r>
              <w:rPr>
                <w:sz w:val="4"/>
                <w:szCs w:val="4"/>
              </w:rPr>
            </w:r>
          </w:p>
        </w:tc>
        <w:tc>
          <w:tcPr>
            <w:tcW w:w="9448" w:type="dxa"/>
            <w:tcBorders/>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9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 the instance document does not appear in the Interactive Data File because XBRL tags are embedded within the Inline XBRL document. </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9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Document </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Portions of this exhibit have been omitted in compliance with Item 601 of Regulation S-K.</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88" w:type="dxa"/>
        <w:jc w:val="left"/>
        <w:tblInd w:w="0" w:type="dxa"/>
        <w:tblLayout w:type="fixed"/>
        <w:tblCellMar>
          <w:top w:w="28" w:type="dxa"/>
          <w:left w:w="28" w:type="dxa"/>
          <w:bottom w:w="28" w:type="dxa"/>
          <w:right w:w="28" w:type="dxa"/>
        </w:tblCellMar>
      </w:tblPr>
      <w:tblGrid>
        <w:gridCol w:w="1846"/>
        <w:gridCol w:w="631"/>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EyePoint,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S. Duker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Jay S. Duker,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7623" w:type="dxa"/>
        <w:jc w:val="left"/>
        <w:tblInd w:w="0" w:type="dxa"/>
        <w:tblLayout w:type="fixed"/>
        <w:tblCellMar>
          <w:top w:w="28" w:type="dxa"/>
          <w:left w:w="28" w:type="dxa"/>
          <w:bottom w:w="28" w:type="dxa"/>
          <w:right w:w="28" w:type="dxa"/>
        </w:tblCellMar>
      </w:tblPr>
      <w:tblGrid>
        <w:gridCol w:w="1846"/>
        <w:gridCol w:w="631"/>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O. Elston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Name:</w:t>
            </w:r>
          </w:p>
        </w:tc>
        <w:tc>
          <w:tcPr>
            <w:tcW w:w="514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George O. Elston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Title:</w:t>
            </w:r>
          </w:p>
        </w:tc>
        <w:tc>
          <w:tcPr>
            <w:tcW w:w="514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eypt-ex10_4.htm"/>
      <w:bookmarkStart w:id="22" w:name="kseyptex10_4"/>
      <w:bookmarkEnd w:id="21"/>
      <w:bookmarkEnd w:id="22"/>
      <w:r>
        <w:rPr>
          <w:rFonts w:ascii="Times New Roman" w:hAnsi="Times New Roman"/>
          <w:b/>
          <w:color w:val="000000"/>
          <w:sz w:val="24"/>
        </w:rPr>
        <w:t>Exhibit 10.4</w:t>
      </w:r>
      <w:r>
        <w:br w:type="page"/>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Sixth amendment to lease</w:t>
      </w:r>
    </w:p>
    <w:p>
      <w:pPr>
        <w:pStyle w:val="TextBody"/>
        <w:bidi w:val="0"/>
        <w:spacing w:before="0" w:after="240"/>
        <w:jc w:val="both"/>
        <w:rPr>
          <w:rFonts w:ascii="Times New Roman" w:hAnsi="Times New Roman"/>
          <w:sz w:val="20"/>
        </w:rPr>
      </w:pPr>
      <w:r>
        <w:rPr>
          <w:rFonts w:ascii="Times New Roman" w:hAnsi="Times New Roman"/>
          <w:b/>
          <w:color w:val="000000"/>
          <w:sz w:val="22"/>
        </w:rPr>
        <w:t>THIS SIXTH AMENDMENT TO LEASE</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made and entered into as of the 13th day of February,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xml:space="preserve">), by and between </w:t>
      </w:r>
      <w:r>
        <w:rPr>
          <w:rFonts w:ascii="Times New Roman" w:hAnsi="Times New Roman"/>
          <w:b/>
          <w:color w:val="000000"/>
          <w:sz w:val="22"/>
        </w:rPr>
        <w:t>GRE RIVERWORKS, LLC</w:t>
      </w:r>
      <w:r>
        <w:rPr>
          <w:rFonts w:ascii="Times New Roman" w:hAnsi="Times New Roman"/>
          <w:color w:val="000000"/>
          <w:sz w:val="22"/>
        </w:rPr>
        <w:t>, a Delaware limited liability company (“</w:t>
      </w:r>
      <w:r>
        <w:rPr>
          <w:rFonts w:ascii="Times New Roman" w:hAnsi="Times New Roman"/>
          <w:b/>
          <w:color w:val="000000"/>
          <w:sz w:val="22"/>
        </w:rPr>
        <w:t>Landlord</w:t>
      </w:r>
      <w:r>
        <w:rPr>
          <w:rFonts w:ascii="Times New Roman" w:hAnsi="Times New Roman"/>
          <w:color w:val="000000"/>
          <w:sz w:val="20"/>
        </w:rPr>
        <w:t>”</w:t>
      </w:r>
      <w:r>
        <w:rPr>
          <w:rFonts w:ascii="Times New Roman" w:hAnsi="Times New Roman"/>
          <w:color w:val="000000"/>
          <w:sz w:val="22"/>
        </w:rPr>
        <w:t>) (as successor-in-interest to Farley White Aetna Mills, LLC, a Massachusetts limited liability company (“</w:t>
      </w:r>
      <w:r>
        <w:rPr>
          <w:rFonts w:ascii="Times New Roman" w:hAnsi="Times New Roman"/>
          <w:b/>
          <w:color w:val="000000"/>
          <w:sz w:val="22"/>
        </w:rPr>
        <w:t>Original Landlord</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EYEPOINT, INC.</w:t>
      </w:r>
      <w:r>
        <w:rPr>
          <w:rFonts w:ascii="Times New Roman" w:hAnsi="Times New Roman"/>
          <w:color w:val="000000"/>
          <w:sz w:val="22"/>
        </w:rPr>
        <w:t>, a Delaware corporation (f/k/a Eyepoint Pharmaceuticals, Inc., “</w:t>
      </w:r>
      <w:r>
        <w:rPr>
          <w:rFonts w:ascii="Times New Roman" w:hAnsi="Times New Roman"/>
          <w:b/>
          <w:color w:val="000000"/>
          <w:sz w:val="22"/>
        </w:rPr>
        <w:t>Tenant</w:t>
      </w:r>
      <w:r>
        <w:rPr>
          <w:rFonts w:ascii="Times New Roman" w:hAnsi="Times New Roman"/>
          <w:color w:val="000000"/>
          <w:sz w:val="20"/>
        </w:rPr>
        <w:t>”</w:t>
      </w:r>
      <w:r>
        <w:rPr>
          <w:rFonts w:ascii="Times New Roman" w:hAnsi="Times New Roman"/>
          <w:color w:val="000000"/>
          <w:sz w:val="22"/>
        </w:rPr>
        <w:t>) (as successor-in-interest to pSivida Corp., a Delaware corporation (“</w:t>
      </w:r>
      <w:r>
        <w:rPr>
          <w:rFonts w:ascii="Times New Roman" w:hAnsi="Times New Roman"/>
          <w:b/>
          <w:color w:val="000000"/>
          <w:sz w:val="22"/>
        </w:rPr>
        <w:t>Original Tenant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Original Landlord and Original Tenant entered into that certain Lease dated November 1, 2013 (the “</w:t>
      </w:r>
      <w:r>
        <w:rPr>
          <w:rFonts w:ascii="Times New Roman" w:hAnsi="Times New Roman"/>
          <w:b/>
          <w:color w:val="000000"/>
          <w:sz w:val="22"/>
        </w:rPr>
        <w:t>Original Lease</w:t>
      </w:r>
      <w:r>
        <w:rPr>
          <w:color w:val="000000"/>
        </w:rPr>
        <w:t>”</w:t>
      </w:r>
      <w:r>
        <w:rPr>
          <w:rFonts w:ascii="Times New Roman" w:hAnsi="Times New Roman"/>
          <w:color w:val="000000"/>
          <w:sz w:val="22"/>
        </w:rPr>
        <w:t>),</w:t>
      </w:r>
      <w:r>
        <w:rPr>
          <w:color w:val="000000"/>
        </w:rPr>
        <w:t xml:space="preserve"> </w:t>
      </w:r>
      <w:r>
        <w:rPr>
          <w:rFonts w:ascii="Times New Roman" w:hAnsi="Times New Roman"/>
          <w:color w:val="000000"/>
          <w:sz w:val="22"/>
        </w:rPr>
        <w:t>as amended by that certain First Amendment to Lease dated February 6, 2014,</w:t>
      </w:r>
      <w:r>
        <w:rPr>
          <w:color w:val="000000"/>
        </w:rPr>
        <w:t xml:space="preserve"> </w:t>
      </w:r>
      <w:r>
        <w:rPr>
          <w:rFonts w:ascii="Times New Roman" w:hAnsi="Times New Roman"/>
          <w:color w:val="000000"/>
          <w:sz w:val="22"/>
        </w:rPr>
        <w:t>that certain Second Amendment to Lease dated May 14, 2018 (the “</w:t>
      </w:r>
      <w:r>
        <w:rPr>
          <w:rFonts w:ascii="Times New Roman" w:hAnsi="Times New Roman"/>
          <w:b/>
          <w:color w:val="000000"/>
          <w:sz w:val="22"/>
        </w:rPr>
        <w:t>Second Amendment</w:t>
      </w:r>
      <w:r>
        <w:rPr>
          <w:color w:val="000000"/>
        </w:rPr>
        <w:t>”</w:t>
      </w:r>
      <w:r>
        <w:rPr>
          <w:rFonts w:ascii="Times New Roman" w:hAnsi="Times New Roman"/>
          <w:color w:val="000000"/>
          <w:sz w:val="22"/>
        </w:rPr>
        <w:t>),</w:t>
      </w:r>
      <w:r>
        <w:rPr>
          <w:color w:val="000000"/>
        </w:rPr>
        <w:t xml:space="preserve"> </w:t>
      </w:r>
      <w:r>
        <w:rPr>
          <w:rFonts w:ascii="Times New Roman" w:hAnsi="Times New Roman"/>
          <w:color w:val="000000"/>
          <w:sz w:val="22"/>
        </w:rPr>
        <w:t>that certain Confirmation of Suite A-210 Effective Date dated November 29, 2018, that certain Third Amendment to Lease dated April 5, 2021 (the “</w:t>
      </w:r>
      <w:r>
        <w:rPr>
          <w:rFonts w:ascii="Times New Roman" w:hAnsi="Times New Roman"/>
          <w:b/>
          <w:color w:val="000000"/>
          <w:sz w:val="22"/>
        </w:rPr>
        <w:t>Third Amendment</w:t>
      </w:r>
      <w:r>
        <w:rPr>
          <w:color w:val="000000"/>
        </w:rPr>
        <w:t>”</w:t>
      </w:r>
      <w:r>
        <w:rPr>
          <w:rFonts w:ascii="Times New Roman" w:hAnsi="Times New Roman"/>
          <w:color w:val="000000"/>
          <w:sz w:val="22"/>
        </w:rPr>
        <w:t>), and that certain Fourth Amendment to Lease dated as of March 8, 2022 (the “</w:t>
      </w:r>
      <w:r>
        <w:rPr>
          <w:rFonts w:ascii="Times New Roman" w:hAnsi="Times New Roman"/>
          <w:b/>
          <w:color w:val="000000"/>
          <w:sz w:val="22"/>
        </w:rPr>
        <w:t>Fourth Amendment</w:t>
      </w:r>
      <w:r>
        <w:rPr>
          <w:color w:val="000000"/>
        </w:rPr>
        <w:t>”</w:t>
      </w:r>
      <w:r>
        <w:rPr>
          <w:rFonts w:ascii="Times New Roman" w:hAnsi="Times New Roman"/>
          <w:color w:val="000000"/>
          <w:sz w:val="22"/>
        </w:rPr>
        <w:t>), and that certain Fifth Amendment to Lease dated as of March 31, 2025 (collectively, the “</w:t>
      </w:r>
      <w:r>
        <w:rPr>
          <w:rFonts w:ascii="Times New Roman" w:hAnsi="Times New Roman"/>
          <w:b/>
          <w:color w:val="000000"/>
          <w:sz w:val="22"/>
        </w:rPr>
        <w:t>Lease</w:t>
      </w:r>
      <w:r>
        <w:rPr>
          <w:color w:val="000000"/>
        </w:rPr>
        <w:t>”</w:t>
      </w:r>
      <w:r>
        <w:rPr>
          <w:rFonts w:ascii="Times New Roman" w:hAnsi="Times New Roman"/>
          <w:color w:val="000000"/>
          <w:sz w:val="22"/>
        </w:rPr>
        <w:t>), pursuant to which Tenant currently leases certain premises known as Suite B210 on the second floor containing approximately 8,383 rentable square feet (which incorporates and includes Suite A210), Suite B300 on the third floor containing approximately 13,650 rentable square feet, and Suite C400 on the fourth floor containing approximately 11,999 rentable square feet (collectively, the “</w:t>
      </w:r>
      <w:r>
        <w:rPr>
          <w:rFonts w:ascii="Times New Roman" w:hAnsi="Times New Roman"/>
          <w:b/>
          <w:color w:val="000000"/>
          <w:sz w:val="22"/>
        </w:rPr>
        <w:t>Existing Premises</w:t>
      </w:r>
      <w:r>
        <w:rPr>
          <w:color w:val="000000"/>
        </w:rPr>
        <w:t>”</w:t>
      </w:r>
      <w:r>
        <w:rPr>
          <w:rFonts w:ascii="Times New Roman" w:hAnsi="Times New Roman"/>
          <w:color w:val="000000"/>
          <w:sz w:val="22"/>
        </w:rPr>
        <w:t>), in the building commonly known as</w:t>
      </w:r>
      <w:r>
        <w:rPr>
          <w:color w:val="202020"/>
        </w:rPr>
        <w:t xml:space="preserve"> </w:t>
      </w:r>
      <w:r>
        <w:rPr>
          <w:rFonts w:ascii="Times New Roman" w:hAnsi="Times New Roman"/>
          <w:color w:val="202020"/>
          <w:sz w:val="22"/>
        </w:rPr>
        <w:t>the Riverworks Innovation Center located at 480 Pleasant Street, Watertown, Massachusetts (the</w:t>
      </w:r>
      <w:r>
        <w:rPr>
          <w:color w:val="000000"/>
        </w:rPr>
        <w:t xml:space="preserve"> </w:t>
      </w:r>
      <w:r>
        <w:rPr>
          <w:rFonts w:ascii="Times New Roman" w:hAnsi="Times New Roman"/>
          <w:color w:val="000000"/>
          <w:sz w:val="22"/>
        </w:rPr>
        <w:t>"</w:t>
      </w:r>
      <w:r>
        <w:rPr>
          <w:rFonts w:ascii="Times New Roman" w:hAnsi="Times New Roman"/>
          <w:b/>
          <w:color w:val="000000"/>
          <w:sz w:val="22"/>
        </w:rPr>
        <w:t>Building</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has succeeded to all right, title and interest of Original Landlord under the Lease and Tenant has succeeded to all right, title and interest of Original Tenant under the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Term of the Lease with respect to the Existing Premises is scheduled to expire May 31, 2028.</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and Tenant desire to further expand the Existing Premises, and otherwise modify the Lease as set forth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for good and valuable consideration, the receipt and sufficiency of which are hereby acknowledged, the parties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Recitals</w:t>
      </w:r>
      <w:r>
        <w:rPr>
          <w:rFonts w:ascii="Times New Roman" w:hAnsi="Times New Roman"/>
          <w:color w:val="000000"/>
          <w:sz w:val="22"/>
        </w:rPr>
        <w:t>. The recitals set forth above are hereby incorporated into and made a material part of this Amendment. Capitalized terms used but not otherwise defined herein shall have the same meanings ascribed to them in the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Expansion</w:t>
      </w:r>
      <w:r>
        <w:rPr>
          <w:rFonts w:ascii="Times New Roman" w:hAnsi="Times New Roman"/>
          <w:color w:val="000000"/>
          <w:sz w:val="22"/>
        </w:rPr>
        <w:t>. Effective as of the Sixth Amendment Expansion Premises Commencement Date (as hereinafter defined), the Existing Premises are hereby expanded to include Suite B100 containing 10,675 rentable square feet located on the first (1st) floor of the Building (“</w:t>
      </w:r>
      <w:r>
        <w:rPr>
          <w:rFonts w:ascii="Times New Roman" w:hAnsi="Times New Roman"/>
          <w:b/>
          <w:color w:val="000000"/>
          <w:sz w:val="22"/>
        </w:rPr>
        <w:t>Sixth Amendment</w:t>
      </w:r>
      <w:r>
        <w:rPr>
          <w:color w:val="000000"/>
        </w:rPr>
        <w:t xml:space="preserve"> </w:t>
      </w:r>
      <w:r>
        <w:rPr>
          <w:rFonts w:ascii="Times New Roman" w:hAnsi="Times New Roman"/>
          <w:b/>
          <w:color w:val="000000"/>
          <w:sz w:val="22"/>
        </w:rPr>
        <w:t>Expansion Premises</w:t>
      </w:r>
      <w:r>
        <w:rPr>
          <w:color w:val="000000"/>
        </w:rPr>
        <w:t>”</w:t>
      </w:r>
      <w:r>
        <w:rPr>
          <w:rFonts w:ascii="Times New Roman" w:hAnsi="Times New Roman"/>
          <w:color w:val="000000"/>
          <w:sz w:val="22"/>
        </w:rPr>
        <w:t xml:space="preserve">) as shown on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 xml:space="preserve">attached hereto and made a part hereof, which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shall be deemed part of and attached to the Original Lease. Landlord leases the Sixth Amendment Expansion Premises to Tenant and Tenant leases the Sixth Amendment Expansion Premises from Landlord. The “</w:t>
      </w:r>
      <w:r>
        <w:rPr>
          <w:rFonts w:ascii="Times New Roman" w:hAnsi="Times New Roman"/>
          <w:b/>
          <w:color w:val="000000"/>
          <w:sz w:val="22"/>
        </w:rPr>
        <w:t>Sixth Amendment</w:t>
      </w:r>
      <w:r>
        <w:rPr>
          <w:color w:val="000000"/>
        </w:rPr>
        <w:t xml:space="preserve"> </w:t>
      </w:r>
      <w:r>
        <w:rPr>
          <w:rFonts w:ascii="Times New Roman" w:hAnsi="Times New Roman"/>
          <w:b/>
          <w:color w:val="000000"/>
          <w:sz w:val="22"/>
        </w:rPr>
        <w:t>Expansion Premises Commencement Date</w:t>
      </w:r>
      <w:r>
        <w:rPr>
          <w:color w:val="000000"/>
        </w:rPr>
        <w:t xml:space="preserve">” </w:t>
      </w:r>
      <w:r>
        <w:rPr>
          <w:rFonts w:ascii="Times New Roman" w:hAnsi="Times New Roman"/>
          <w:color w:val="000000"/>
          <w:sz w:val="22"/>
        </w:rPr>
        <w:t xml:space="preserve">shall mean May 1, 2026. Approximately thirty (30) days prior to the Sixth Amendment Expansion Premises Commencement Date, Landlord shall allow Tenant to enter the Sixth Amendment Expansion Premises to move in and set up business equipment and otherwise prepare the Sixth Amendment Expansion Premises for occupancy. Any entry onto the Sixth Amendment Expansion Premises by Tenant or its agents or vendors prior to the Sixth Amendment Expansion Premises Commencement Date shall be subject to all of the terms and conditions of the Lease (including the insurance requirements set forth in this Lease), except that Tenant is not required to pay Base Rent for the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Sixth Amendment Expansion Premises until the Sixth Amendment Expansion Premises Commencement Date. Tenant shall bear the full risk of loss for any materials, equipment or other property which Tenant, its agents, or employees bring into the Building or the Sixth Amendment Expansion Premises prior to the Sixth Amendment Expansion Premises Commencement Date, which shall be at Tenant’s sole risk. As of the Sixth Amendment Expansion Premises Commencement Date, the “Premises” shall include both the Existing Premises and the Sixth Amendment Expansion Premises. The rentable square feet stated herein shall be conclusive on both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Term for Sixth Amendment Expansion Premises</w:t>
      </w:r>
      <w:r>
        <w:rPr>
          <w:rFonts w:ascii="Times New Roman" w:hAnsi="Times New Roman"/>
          <w:color w:val="000000"/>
          <w:sz w:val="22"/>
        </w:rPr>
        <w:t>. The Term of the Lease for the Sixth Amendment Expansion Premises (the “</w:t>
      </w:r>
      <w:r>
        <w:rPr>
          <w:rFonts w:ascii="Times New Roman" w:hAnsi="Times New Roman"/>
          <w:b/>
          <w:color w:val="000000"/>
          <w:sz w:val="22"/>
        </w:rPr>
        <w:t>Sixth Amendment</w:t>
      </w:r>
      <w:r>
        <w:rPr>
          <w:color w:val="000000"/>
        </w:rPr>
        <w:t xml:space="preserve"> </w:t>
      </w:r>
      <w:r>
        <w:rPr>
          <w:rFonts w:ascii="Times New Roman" w:hAnsi="Times New Roman"/>
          <w:b/>
          <w:color w:val="000000"/>
          <w:sz w:val="22"/>
        </w:rPr>
        <w:t>Expansion Premises Term</w:t>
      </w:r>
      <w:r>
        <w:rPr>
          <w:color w:val="000000"/>
        </w:rPr>
        <w:t>”</w:t>
      </w:r>
      <w:r>
        <w:rPr>
          <w:rFonts w:ascii="Times New Roman" w:hAnsi="Times New Roman"/>
          <w:color w:val="000000"/>
          <w:sz w:val="22"/>
        </w:rPr>
        <w:t>) shall commence on the Sixth Amendment Expansion Premises Commencement Date and shall end on October 31, 2027. For clarity, the Term of the Lease with respect to the Existing Premises shall end on May 31, 2028. All of the terms and conditions of the Lease shall be applicable during the Sixth Amendment Expansion Premises</w:t>
      </w:r>
      <w:r>
        <w:rPr>
          <w:color w:val="000000"/>
        </w:rPr>
        <w:t xml:space="preserve"> </w:t>
      </w:r>
      <w:r>
        <w:rPr>
          <w:rFonts w:ascii="Times New Roman" w:hAnsi="Times New Roman"/>
          <w:color w:val="000000"/>
          <w:sz w:val="22"/>
        </w:rPr>
        <w:t xml:space="preserve">Term, except as is otherwise provided in this Amendment.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Base Rent for the Sixth Amendment Expansion Premises</w:t>
      </w:r>
      <w:r>
        <w:rPr>
          <w:rFonts w:ascii="Times New Roman" w:hAnsi="Times New Roman"/>
          <w:color w:val="000000"/>
          <w:sz w:val="22"/>
        </w:rPr>
        <w:t>. In addition to Base Rent for the Existing Premises, Tenant shall pay Base Rent for the Sixth Amendment Expansion Premises in the following monthly installments at the following times and in the same manner and place as is required under the Lease, as amended hereby, commencing on the Sixth Amendment Expansion Premises Commencement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1"/>
        <w:gridCol w:w="3131"/>
        <w:gridCol w:w="1896"/>
        <w:gridCol w:w="2687"/>
      </w:tblGrid>
      <w:tr>
        <w:trPr/>
        <w:tc>
          <w:tcPr>
            <w:tcW w:w="2491"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Time Period:</w:t>
            </w:r>
          </w:p>
        </w:tc>
        <w:tc>
          <w:tcPr>
            <w:tcW w:w="313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Annual Base Rent Per Rentable Square Foot</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Annualized Base Rent</w:t>
            </w:r>
          </w:p>
        </w:tc>
        <w:tc>
          <w:tcPr>
            <w:tcW w:w="268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Monthly Installments of Base Rent</w:t>
            </w:r>
          </w:p>
        </w:tc>
      </w:tr>
      <w:tr>
        <w:trPr/>
        <w:tc>
          <w:tcPr>
            <w:tcW w:w="24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May 1, 2026 – October 31, 2027</w:t>
            </w:r>
          </w:p>
        </w:tc>
        <w:tc>
          <w:tcPr>
            <w:tcW w:w="313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$42.00</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$448,350.00</w:t>
            </w:r>
          </w:p>
        </w:tc>
        <w:tc>
          <w:tcPr>
            <w:tcW w:w="268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$37,362.50</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Additional Rent.</w:t>
      </w:r>
      <w:r>
        <w:rPr>
          <w:color w:val="000000"/>
        </w:rPr>
        <w:t xml:space="preserve"> </w:t>
      </w:r>
      <w:r>
        <w:rPr>
          <w:rFonts w:ascii="Times New Roman" w:hAnsi="Times New Roman"/>
          <w:color w:val="000000"/>
          <w:sz w:val="22"/>
        </w:rPr>
        <w:t>Tenant shall continue to pay Tenant’s Percentage of Taxes and Operating Expenses for the Existing Premises in the manner and at the times required under the Lease for the balance of the Term of the Lease. Tenant is not required to pay Tenant’s Percentage of Taxes and Operating Expenses for the Sixth Amendment Expansion Premises.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Tenant’s Electricity</w:t>
      </w:r>
      <w:r>
        <w:rPr>
          <w:rFonts w:ascii="Times New Roman" w:hAnsi="Times New Roman"/>
          <w:color w:val="000000"/>
          <w:sz w:val="22"/>
        </w:rPr>
        <w:t>. With respect to the Sixth Amendment Expansion Premises, Tenant shall pay Tenant’s Percentage (with the rentable square footage of the Sixth Amendment Expansion Premises as the numerator and the RSF of the Building as the denominator) of Electrical Costs. As used herein, “Electrical Costs” means the cost of all electricity used by the Property, which shall include sales, use, excise or other taxes assessed by governmental authorities on electrical services supplied to the Property. Tenant’s Percentage with respect to the Sixth Amendment Expansion Premises is 5.2847%. Such amount shall be payable in monthly installments on the Sixth Amendment Expansion Premises Commencement Date and on the first day of each calendar month thereafter. Each installment shall be based on Landlord’s estimate of the amount due for each month. From time to time during any calendar year, Landlord may estimate or re-estimate the Electrical Costs to be due by Tenant for that calendar year and deliver a copy of the estimate or re-estimate to Tenant. Thereafter, the monthly installments of Electrical Costs payable by Tenant shall be appropriately adjusted in accordance with the estimations. Electrical Costs shall be subject to reconciliation in the same manner as Operating Expenses.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Security Deposit</w:t>
      </w:r>
      <w:r>
        <w:rPr>
          <w:rFonts w:ascii="Times New Roman" w:hAnsi="Times New Roman"/>
          <w:color w:val="000000"/>
          <w:sz w:val="22"/>
        </w:rPr>
        <w:t>. Tenant shall continue to maintain a Security Deposit in the form of a Letter of Credit in the amount of $150,000.00 pursuant to the Lease.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Condition of Premises</w:t>
      </w:r>
      <w:r>
        <w:rPr>
          <w:rFonts w:ascii="Times New Roman" w:hAnsi="Times New Roman"/>
          <w:color w:val="000000"/>
          <w:sz w:val="22"/>
        </w:rPr>
        <w:t>. Tenant hereby re-accepts the Existing Premises in its current “AS-IS” “WHERE IS” condition. Tenant hereby accepts the Sixth Amendment Expansion Premises in its current “AS-IS” “WHERE-IS” condition, and Landlord shall have no obligation to perform any work therein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2"/>
          <w:u w:val="single"/>
        </w:rPr>
        <w:t>Furniture</w:t>
      </w:r>
      <w:r>
        <w:rPr>
          <w:rFonts w:ascii="Times New Roman" w:hAnsi="Times New Roman"/>
          <w:color w:val="000000"/>
          <w:sz w:val="22"/>
        </w:rPr>
        <w:t>. Landlord leases to Tenant, in an “as is” condition, all office furniture located in the Sixth Amendment Expansion Premises as of the Sixth Amendment Expansion Premises Commencement Date (the “</w:t>
      </w:r>
      <w:r>
        <w:rPr>
          <w:rFonts w:ascii="Times New Roman" w:hAnsi="Times New Roman"/>
          <w:b/>
          <w:color w:val="000000"/>
          <w:sz w:val="22"/>
        </w:rPr>
        <w:t>Furniture</w:t>
      </w:r>
      <w:r>
        <w:rPr>
          <w:color w:val="000000"/>
        </w:rPr>
        <w:t>”</w:t>
      </w:r>
      <w:r>
        <w:rPr>
          <w:rFonts w:ascii="Times New Roman" w:hAnsi="Times New Roman"/>
          <w:color w:val="000000"/>
          <w:sz w:val="22"/>
        </w:rPr>
        <w:t>). Tenant shall take commercially reasonable care of the Furniture, keep the Furniture insured under its existing insurance policies, pay all personal property taxes on the Furniture (if any), and return the Furniture to Landlord at the expiration or earlier termination of the Term of the Lease in the same condition delivered to Tenant, normal wear and tear excepted. Tenant’s obligation to maintain the Furniture shall be limited to routine cleaning and minor repairs. Landlord will not charge additional rent for the Furniture.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2"/>
          <w:u w:val="single"/>
        </w:rPr>
        <w:t>Parking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Effective as of the Sixth Amendment Expansion Premises Commencement Date and continuing through October 31, 2027, the first paragraph of Exhibit E to the Second Amendment, as amended by Section 10 of the Third Amendment, as amended by Section 10 of the Fourth Amendment, is hereby deleted and replaced in its entirety with the following:</w:t>
      </w:r>
    </w:p>
    <w:p>
      <w:pPr>
        <w:pStyle w:val="TextBody"/>
        <w:bidi w:val="0"/>
        <w:spacing w:before="0" w:after="240"/>
        <w:jc w:val="both"/>
        <w:rPr/>
      </w:pPr>
      <w:r>
        <w:rPr>
          <w:color w:val="000000"/>
        </w:rPr>
        <w:t>“</w:t>
      </w:r>
      <w:r>
        <w:rPr>
          <w:rFonts w:ascii="Times New Roman" w:hAnsi="Times New Roman"/>
          <w:color w:val="000000"/>
          <w:sz w:val="22"/>
        </w:rPr>
        <w:t>Tenant shall be provided a total of eighty-nine (89) parking access cards for unreserved parking spaces (i.e., 2 parking spaces per 1,000 square feet of Rentable Area) of which twenty-nine (29) such parking spaces shall be allocated to the lower lot located on south side of Pleasant Street (the “</w:t>
      </w:r>
      <w:r>
        <w:rPr>
          <w:rFonts w:ascii="Times New Roman" w:hAnsi="Times New Roman"/>
          <w:b/>
          <w:color w:val="000000"/>
          <w:sz w:val="22"/>
        </w:rPr>
        <w:t>Lower Lot</w:t>
      </w:r>
      <w:r>
        <w:rPr>
          <w:rFonts w:ascii="Times New Roman" w:hAnsi="Times New Roman"/>
          <w:color w:val="000000"/>
          <w:sz w:val="20"/>
        </w:rPr>
        <w:t>”</w:t>
      </w:r>
      <w:r>
        <w:rPr>
          <w:rFonts w:ascii="Times New Roman" w:hAnsi="Times New Roman"/>
          <w:color w:val="000000"/>
          <w:sz w:val="22"/>
        </w:rPr>
        <w:t>) and sixty (60) of such parking spaces shall be allocated to the upper lot located on the north side of Pleasant Street (the “</w:t>
      </w:r>
      <w:r>
        <w:rPr>
          <w:rFonts w:ascii="Times New Roman" w:hAnsi="Times New Roman"/>
          <w:b/>
          <w:color w:val="000000"/>
          <w:sz w:val="22"/>
        </w:rPr>
        <w:t>Upper Lot</w:t>
      </w:r>
      <w:r>
        <w:rPr>
          <w:rFonts w:ascii="Times New Roman" w:hAnsi="Times New Roman"/>
          <w:color w:val="000000"/>
          <w:sz w:val="20"/>
        </w:rPr>
        <w:t xml:space="preserve">” </w:t>
      </w:r>
      <w:r>
        <w:rPr>
          <w:rFonts w:ascii="Times New Roman" w:hAnsi="Times New Roman"/>
          <w:color w:val="000000"/>
          <w:sz w:val="22"/>
        </w:rPr>
        <w:t>and with the Lower Lot, the “</w:t>
      </w:r>
      <w:r>
        <w:rPr>
          <w:rFonts w:ascii="Times New Roman" w:hAnsi="Times New Roman"/>
          <w:b/>
          <w:color w:val="000000"/>
          <w:sz w:val="22"/>
        </w:rPr>
        <w:t>Parking Area</w:t>
      </w:r>
      <w:r>
        <w:rPr>
          <w:rFonts w:ascii="Times New Roman" w:hAnsi="Times New Roman"/>
          <w:color w:val="000000"/>
          <w:sz w:val="20"/>
        </w:rPr>
        <w:t>”</w:t>
      </w:r>
      <w:r>
        <w:rPr>
          <w:rFonts w:ascii="Times New Roman" w:hAnsi="Times New Roman"/>
          <w:color w:val="000000"/>
          <w:sz w:val="22"/>
        </w:rPr>
        <w:t>) subject to the terms, conditions and regulations as are from time to time applicable to patrons of the Parking Area.”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Effective as of November 1, 2027 and continuing through the remainder of the Term of the Lease for the Existing Premises, the first paragraph of Exhibit E to the Second Amendment, as amended by Section 10 of the Third Amendment, as amended by Section 10 of the Fourth Amendment, is hereby deleted and replaced in its entirety with the following:</w:t>
      </w:r>
    </w:p>
    <w:p>
      <w:pPr>
        <w:pStyle w:val="TextBody"/>
        <w:bidi w:val="0"/>
        <w:spacing w:before="0" w:after="240"/>
        <w:jc w:val="both"/>
        <w:rPr/>
      </w:pPr>
      <w:r>
        <w:rPr>
          <w:color w:val="000000"/>
        </w:rPr>
        <w:t>“</w:t>
      </w:r>
      <w:r>
        <w:rPr>
          <w:rFonts w:ascii="Times New Roman" w:hAnsi="Times New Roman"/>
          <w:color w:val="000000"/>
          <w:sz w:val="22"/>
        </w:rPr>
        <w:t>Tenant shall be provided a total of sixty eight (68) parking access cards for unreserved parking spaces (i.e., 2 parking spaces per 1,000 square feet of Rentable Area) of which twenty-seven (27) such parking spaces shall be allocated to the lower lot located on south side of Pleasant Street (the “</w:t>
      </w:r>
      <w:r>
        <w:rPr>
          <w:rFonts w:ascii="Times New Roman" w:hAnsi="Times New Roman"/>
          <w:b/>
          <w:color w:val="000000"/>
          <w:sz w:val="22"/>
        </w:rPr>
        <w:t>Lower Lot</w:t>
      </w:r>
      <w:r>
        <w:rPr>
          <w:rFonts w:ascii="Times New Roman" w:hAnsi="Times New Roman"/>
          <w:color w:val="000000"/>
          <w:sz w:val="20"/>
        </w:rPr>
        <w:t>”</w:t>
      </w:r>
      <w:r>
        <w:rPr>
          <w:rFonts w:ascii="Times New Roman" w:hAnsi="Times New Roman"/>
          <w:color w:val="000000"/>
          <w:sz w:val="22"/>
        </w:rPr>
        <w:t>) and forty-one (41) of such parking spaces shall be allocated to the upper lot located on the north side of Pleasant Street (the “</w:t>
      </w:r>
      <w:r>
        <w:rPr>
          <w:rFonts w:ascii="Times New Roman" w:hAnsi="Times New Roman"/>
          <w:b/>
          <w:color w:val="000000"/>
          <w:sz w:val="22"/>
        </w:rPr>
        <w:t>Upper Lot</w:t>
      </w:r>
      <w:r>
        <w:rPr>
          <w:rFonts w:ascii="Times New Roman" w:hAnsi="Times New Roman"/>
          <w:color w:val="000000"/>
          <w:sz w:val="20"/>
        </w:rPr>
        <w:t xml:space="preserve">” </w:t>
      </w:r>
      <w:r>
        <w:rPr>
          <w:rFonts w:ascii="Times New Roman" w:hAnsi="Times New Roman"/>
          <w:color w:val="000000"/>
          <w:sz w:val="22"/>
        </w:rPr>
        <w:t>and with the Lower Lot, the “</w:t>
      </w:r>
      <w:r>
        <w:rPr>
          <w:rFonts w:ascii="Times New Roman" w:hAnsi="Times New Roman"/>
          <w:b/>
          <w:color w:val="000000"/>
          <w:sz w:val="22"/>
        </w:rPr>
        <w:t>Parking Area</w:t>
      </w:r>
      <w:r>
        <w:rPr>
          <w:rFonts w:ascii="Times New Roman" w:hAnsi="Times New Roman"/>
          <w:color w:val="000000"/>
          <w:sz w:val="20"/>
        </w:rPr>
        <w:t>”</w:t>
      </w:r>
      <w:r>
        <w:rPr>
          <w:rFonts w:ascii="Times New Roman" w:hAnsi="Times New Roman"/>
          <w:color w:val="000000"/>
          <w:sz w:val="22"/>
        </w:rPr>
        <w:t>) subject to the terms, conditions and regulations as are from time to time applicable to patrons of the Parking Area.”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2"/>
          <w:u w:val="single"/>
        </w:rPr>
        <w:t>Option to Extend</w:t>
      </w:r>
      <w:r>
        <w:rPr>
          <w:rFonts w:ascii="Times New Roman" w:hAnsi="Times New Roman"/>
          <w:color w:val="000000"/>
          <w:sz w:val="22"/>
        </w:rPr>
        <w:t xml:space="preserve">. Section 10.23 of the Original Lease, as modified by Section 7 of the Fifth Amendment, shall not apply with respect to the Sixth Amendment Expansion Premises. Tenant shall have no right or option to extend the Term of the Lease with respect to the Sixth Amendment Expansion Premises.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2"/>
          <w:u w:val="single"/>
        </w:rPr>
        <w:t>Digital Rights.</w:t>
      </w:r>
      <w:r>
        <w:rPr>
          <w:color w:val="000000"/>
        </w:rPr>
        <w:t xml:space="preserve"> </w:t>
      </w:r>
      <w:r>
        <w:rPr>
          <w:rFonts w:ascii="Times New Roman" w:hAnsi="Times New Roman"/>
          <w:color w:val="000000"/>
          <w:sz w:val="22"/>
        </w:rPr>
        <w:t>All “Digital Rights” (as defined below) arising from, in connection with or in any way otherwise related to the Premises, Building and/or Property shall be deemed the sole and exclusive property of Landlord and shall not be used in any manner by Tenant without Landlord’s express prior written consent, which may be withheld in its sole and absolute discretion. As used herein, “</w:t>
      </w:r>
      <w:r>
        <w:rPr>
          <w:rFonts w:ascii="Times New Roman" w:hAnsi="Times New Roman"/>
          <w:b/>
          <w:color w:val="000000"/>
          <w:sz w:val="22"/>
        </w:rPr>
        <w:t>Digital Rights</w:t>
      </w:r>
      <w:r>
        <w:rPr>
          <w:color w:val="000000"/>
        </w:rPr>
        <w:t xml:space="preserve">” </w:t>
      </w:r>
      <w:r>
        <w:rPr>
          <w:rFonts w:ascii="Times New Roman" w:hAnsi="Times New Roman"/>
          <w:color w:val="000000"/>
          <w:sz w:val="22"/>
        </w:rPr>
        <w:t xml:space="preserve">means the right to copy, recreate, advertise, market, distribute, display, digitize, render, morph, duplicate, scan,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model, or otherwise use or depict the Premises, Building and/or Property in any and all forms of digital media, now known or hereafter created.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2"/>
          <w:u w:val="single"/>
        </w:rPr>
        <w:t>Brokers</w:t>
      </w:r>
      <w:r>
        <w:rPr>
          <w:rFonts w:ascii="Times New Roman" w:hAnsi="Times New Roman"/>
          <w:color w:val="000000"/>
          <w:sz w:val="22"/>
        </w:rPr>
        <w:t>. Tenant represents that Tenant has not dealt with any broker, agent or finder in connection with this Amendment other than Jones Lang LaSalle, Inc. (“</w:t>
      </w:r>
      <w:r>
        <w:rPr>
          <w:rFonts w:ascii="Times New Roman" w:hAnsi="Times New Roman"/>
          <w:b/>
          <w:color w:val="000000"/>
          <w:sz w:val="22"/>
        </w:rPr>
        <w:t>Landlord’s Broker</w:t>
      </w:r>
      <w:r>
        <w:rPr>
          <w:color w:val="000000"/>
        </w:rPr>
        <w:t>”</w:t>
      </w:r>
      <w:r>
        <w:rPr>
          <w:rFonts w:ascii="Times New Roman" w:hAnsi="Times New Roman"/>
          <w:color w:val="000000"/>
          <w:sz w:val="22"/>
        </w:rPr>
        <w:t>) and Cushman &amp; Wakefield (“</w:t>
      </w:r>
      <w:r>
        <w:rPr>
          <w:rFonts w:ascii="Times New Roman" w:hAnsi="Times New Roman"/>
          <w:b/>
          <w:color w:val="000000"/>
          <w:sz w:val="22"/>
        </w:rPr>
        <w:t>Tenant’s Broker</w:t>
      </w:r>
      <w:r>
        <w:rPr>
          <w:color w:val="000000"/>
        </w:rPr>
        <w:t xml:space="preserve">” </w:t>
      </w:r>
      <w:r>
        <w:rPr>
          <w:rFonts w:ascii="Times New Roman" w:hAnsi="Times New Roman"/>
          <w:color w:val="000000"/>
          <w:sz w:val="22"/>
        </w:rPr>
        <w:t xml:space="preserve">and, together with Landlord’s Broker, the </w:t>
      </w:r>
      <w:r>
        <w:rPr>
          <w:color w:val="000000"/>
        </w:rPr>
        <w:t>“</w:t>
      </w:r>
      <w:r>
        <w:rPr>
          <w:rFonts w:ascii="Times New Roman" w:hAnsi="Times New Roman"/>
          <w:b/>
          <w:color w:val="000000"/>
          <w:sz w:val="22"/>
        </w:rPr>
        <w:t>Brokers</w:t>
      </w:r>
      <w:r>
        <w:rPr>
          <w:color w:val="000000"/>
        </w:rPr>
        <w:t>”</w:t>
      </w:r>
      <w:r>
        <w:rPr>
          <w:rFonts w:ascii="Times New Roman" w:hAnsi="Times New Roman"/>
          <w:color w:val="000000"/>
          <w:sz w:val="22"/>
        </w:rPr>
        <w:t>), whose commission shall be paid by Landlord pursuant to separate written agreement, and Tenant agrees to indemnify and hold Landlord harmless from all damages, judgments, liabilities and expenses (including reasonable attorneys’ fees) arising from any claims or demands of any broker, agent or finder other than the Brokers with whom Tenant has dealt for any commission or fee alleged to be due in connection with its participation in the procurement of Tenant or the negotiation with Tenant of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2"/>
          <w:u w:val="single"/>
        </w:rPr>
        <w:t>Binding Effect</w:t>
      </w:r>
      <w:r>
        <w:rPr>
          <w:rFonts w:ascii="Times New Roman" w:hAnsi="Times New Roman"/>
          <w:color w:val="000000"/>
          <w:sz w:val="22"/>
        </w:rPr>
        <w:t xml:space="preserve">. This Amendment shall not be binding until executed and delivered by both Landlord and Tenant.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2"/>
          <w:u w:val="single"/>
        </w:rPr>
        <w:t>Electronic Signatures; Counterparts</w:t>
      </w:r>
      <w:r>
        <w:rPr>
          <w:rFonts w:ascii="Times New Roman" w:hAnsi="Times New Roman"/>
          <w:color w:val="000000"/>
          <w:sz w:val="22"/>
        </w:rPr>
        <w:t>. This Amendment may be executed in counterparts with the same effect as if both parties hereto had executed the same document. Both counterparts shall be construed together and shall constitute a single Amendment. The parties hereto consent and agree that this Amendment may be signed and/or transmitted by e-mail of a .pdf document or using electronic signature technology (e.g., via DocuSign, AdobeSign, or similar electronic signature technology), and that such signed electronic record shall be valid and as effective to bind the party so signing as a paper copy bearing such party’s handwritten signature. The parties further consent and agree that (i) to the extent a party signs this Amendment using electronic signature technology, by clicking “SIGN”, such party is signing this Amendment electronically, and (ii) the electronic signatures appearing on this Amendment shall be treated, for purposes of validity, enforceability and admissibility, the same as handwritten signatures.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pPr>
      <w:r>
        <w:rPr>
          <w:rFonts w:ascii="Times New Roman" w:hAnsi="Times New Roman"/>
          <w:color w:val="000000"/>
          <w:sz w:val="22"/>
          <w:u w:val="single"/>
        </w:rPr>
        <w:t>Estoppel</w:t>
      </w:r>
      <w:r>
        <w:rPr>
          <w:rFonts w:ascii="Times New Roman" w:hAnsi="Times New Roman"/>
          <w:color w:val="000000"/>
          <w:sz w:val="22"/>
        </w:rPr>
        <w:t>. Tenant hereby represents, warrants and agrees that: to the best of Tenant's knowledge, (i) there exists no breach, default or event of default by Landlord under the Lease, or any event or condition which, with the giving of notice or passage of time or both, would constitute a breach, default or event of default by Landlord under the Lease; (ii) the Lease continues to be a legal, valid and binding agreement and obligation of Tenant; and (iii) Tenant has no current offset or defense to its performance or obligations under the Lease. Tenant hereby waives and releases all demands, charges, claims, accounts or causes of action of any nature against Landlord or Landlord's employees or agents, including without limitation, both known and unknown demands, charges, claims, accounts, and causes of action that have previously arisen out of or in connection with the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pPr>
      <w:r>
        <w:rPr>
          <w:rFonts w:ascii="Times New Roman" w:hAnsi="Times New Roman"/>
          <w:color w:val="000000"/>
          <w:sz w:val="22"/>
          <w:u w:val="single"/>
        </w:rPr>
        <w:t>Exhibits</w:t>
      </w:r>
      <w:r>
        <w:rPr>
          <w:rFonts w:ascii="Times New Roman" w:hAnsi="Times New Roman"/>
          <w:color w:val="000000"/>
          <w:sz w:val="22"/>
        </w:rPr>
        <w:t>. Each Exhibit attached hereto is made a part hereof for all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240"/>
        <w:jc w:val="both"/>
        <w:rPr/>
      </w:pPr>
      <w:r>
        <w:rPr>
          <w:rFonts w:ascii="Times New Roman" w:hAnsi="Times New Roman"/>
          <w:color w:val="000000"/>
          <w:sz w:val="22"/>
          <w:u w:val="single"/>
        </w:rPr>
        <w:t>No Representations</w:t>
      </w:r>
      <w:r>
        <w:rPr>
          <w:rFonts w:ascii="Times New Roman" w:hAnsi="Times New Roman"/>
          <w:color w:val="000000"/>
          <w:sz w:val="22"/>
        </w:rPr>
        <w:t>. Landlord and Landlord's agents have made no representations or promises, express or implied, in connection with this Amendment, except as expressly set forth herein, and Tenant has not relied on any representations except as expressly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w:t>
      </w:r>
    </w:p>
    <w:p>
      <w:pPr>
        <w:pStyle w:val="TextBody"/>
        <w:bidi w:val="0"/>
        <w:spacing w:before="0" w:after="240"/>
        <w:jc w:val="both"/>
        <w:rPr/>
      </w:pPr>
      <w:r>
        <w:rPr>
          <w:rFonts w:ascii="Times New Roman" w:hAnsi="Times New Roman"/>
          <w:color w:val="000000"/>
          <w:sz w:val="22"/>
          <w:u w:val="single"/>
        </w:rPr>
        <w:t>OFAC</w:t>
      </w:r>
      <w:r>
        <w:rPr>
          <w:rFonts w:ascii="Times New Roman" w:hAnsi="Times New Roman"/>
          <w:color w:val="000000"/>
          <w:sz w:val="22"/>
        </w:rPr>
        <w:t xml:space="preserve">. Tenant represents and warrants to Landlord that (1) Tenant is not acting, directly or indirectly, for or on behalf of any person, group, entity, or nation named by any Executive Order or the United States Treasury Department as a terrorist, "Specially Designated National," "Blocked Person," or other banned or blocked person, entity, nation, or transaction pursuant to any law, order, rule, or regulation that is enforced or administered by the Office of Foreign Assets Control; and (2) Tenant is not engaged in this transaction, directly or indirectly on behalf of, or instigating or facilitating this transaction, directly or indirectly on behalf of, any such person, group, entity or nation. Tenant agrees to defend, indemnify, and hold harmless Landlord from and against any and all claims, damages, losses, risks, liabilities, and expenses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reasonable attorney's fees and costs) arising or related to any breach of the foregoing representation and warranty.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20.</w:t>
      </w:r>
    </w:p>
    <w:p>
      <w:pPr>
        <w:pStyle w:val="TextBody"/>
        <w:bidi w:val="0"/>
        <w:spacing w:before="0" w:after="240"/>
        <w:jc w:val="both"/>
        <w:rPr/>
      </w:pPr>
      <w:r>
        <w:rPr>
          <w:rFonts w:ascii="Times New Roman" w:hAnsi="Times New Roman"/>
          <w:color w:val="000000"/>
          <w:sz w:val="22"/>
          <w:u w:val="single"/>
        </w:rPr>
        <w:t>Miscellaneous</w:t>
      </w:r>
      <w:r>
        <w:rPr>
          <w:rFonts w:ascii="Times New Roman" w:hAnsi="Times New Roman"/>
          <w:color w:val="000000"/>
          <w:sz w:val="22"/>
        </w:rPr>
        <w:t xml:space="preserve">. This Amendment sets forth the entire agreement with respect to the matters set forth herein. There have been no additional oral or written representations or agreements. As modified by this Amendment, the Lease is hereby ratified and confirmed, and shall remain in full force and effect. In the event of any inconsistency between the provisions of the Lease and this Amendment, the provisions of this Amendment shall control. Headings used in this Amendment are for convenience only and shall not serve to limit, expand or otherwise alter the terms of this Amendment.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rFonts w:ascii="Times New Roman" w:hAnsi="Times New Roman"/>
          <w:color w:val="000000"/>
          <w:sz w:val="22"/>
          <w:u w:val="single"/>
        </w:rPr>
        <w:t>Signage</w:t>
      </w:r>
      <w:r>
        <w:rPr>
          <w:rFonts w:ascii="Times New Roman" w:hAnsi="Times New Roman"/>
          <w:color w:val="000000"/>
          <w:sz w:val="22"/>
        </w:rPr>
        <w:t>. Section 5.1(e) of the Original Lease is hereby deleted and replaced with the following: “Landlord, at Landlord’s sole cost and expense, shall provide Tenant with Building standard signage on the main Building directory and at the entrance to the Premises. Tenant’s entrance signage for the Premises shall reflect Tenant’s standard corporate graphics, including logo, color, and typeface</w:t>
      </w:r>
      <w:r>
        <w:rPr>
          <w:rFonts w:ascii="Segoe UI;sans-serif" w:hAnsi="Segoe UI;sans-serif"/>
          <w:color w:val="000000"/>
          <w:sz w:val="21"/>
        </w:rPr>
        <w:t xml:space="preserve">, </w:t>
      </w:r>
      <w:r>
        <w:rPr>
          <w:rFonts w:ascii="Times New Roman" w:hAnsi="Times New Roman"/>
          <w:color w:val="000000"/>
          <w:sz w:val="22"/>
        </w:rPr>
        <w:t>which design shall be subject to Landlord’s prior written approval (not be unreasonably withheld) and generally consistent with the Building’s aesthetic; however, any costs in excess of the Building standard signage provided by Landlord attributable to such Tenant-specific graphics shall be borne by Tenant. Further, any changes requested by Tenant to the initial directory or suite signage shall be made at Tenant’s sole cost and expense and shall be subject to Landlord’s approval. Landlord may install such other Building standard signs, advertisements, notices or tenant identification information on the Building directory, tenant access doors or other areas of the Building, as it shall deem necessary or proper. Tenant shall not place any exterior signs on the Premises or interior signs visible from the exterior of the Premises without the prior written consent of Landlord. If Tenant places a sign in violation of this Section, Landlord may immediately take action to remove such signage at Tenant's expense.</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remainder of page intentionally left blank; signature page follows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Landlord and Tenant have executed this Sixth Amendment to Lease as of the date first above written.</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LANDLORD:</w:t>
      </w:r>
    </w:p>
    <w:p>
      <w:pPr>
        <w:pStyle w:val="TextBody"/>
        <w:bidi w:val="0"/>
        <w:jc w:val="left"/>
        <w:rPr>
          <w:rFonts w:ascii="Times New Roman" w:hAnsi="Times New Roman"/>
          <w:sz w:val="20"/>
        </w:rPr>
      </w:pPr>
      <w:r>
        <w:rPr>
          <w:rFonts w:ascii="Times New Roman" w:hAnsi="Times New Roman"/>
          <w:b/>
          <w:color w:val="000000"/>
          <w:sz w:val="22"/>
        </w:rPr>
        <w:t>GRE RIVERWORKS, LLC</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/s/ Jake Lewis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u w:val="single"/>
        </w:rPr>
        <w:t xml:space="preserve"> </w:t>
      </w:r>
      <w:r>
        <w:rPr>
          <w:rFonts w:ascii="Times New Roman" w:hAnsi="Times New Roman"/>
          <w:color w:val="000000"/>
          <w:sz w:val="22"/>
          <w:u w:val="single"/>
        </w:rPr>
        <w:t>Jake Lewis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Its:</w:t>
      </w:r>
      <w:r>
        <w:rPr>
          <w:rFonts w:ascii="Times New Roman" w:hAnsi="Times New Roman"/>
          <w:color w:val="000000"/>
          <w:sz w:val="20"/>
          <w:u w:val="single"/>
        </w:rPr>
        <w:t xml:space="preserve"> </w:t>
      </w:r>
      <w:r>
        <w:rPr>
          <w:rFonts w:ascii="Times New Roman" w:hAnsi="Times New Roman"/>
          <w:color w:val="000000"/>
          <w:sz w:val="22"/>
          <w:u w:val="single"/>
        </w:rPr>
        <w:t>Vice President</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TENANT:</w:t>
      </w:r>
    </w:p>
    <w:p>
      <w:pPr>
        <w:pStyle w:val="TextBody"/>
        <w:bidi w:val="0"/>
        <w:jc w:val="left"/>
        <w:rPr>
          <w:rFonts w:ascii="Times New Roman" w:hAnsi="Times New Roman"/>
          <w:b/>
          <w:color w:val="000000"/>
          <w:sz w:val="22"/>
        </w:rPr>
      </w:pPr>
      <w:r>
        <w:rPr>
          <w:rFonts w:ascii="Times New Roman" w:hAnsi="Times New Roman"/>
          <w:b/>
          <w:color w:val="000000"/>
          <w:sz w:val="22"/>
        </w:rPr>
        <w:t>EYEPOINT, INC.,</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/s/ Ron Honig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u w:val="single"/>
        </w:rPr>
        <w:t xml:space="preserve"> </w:t>
      </w:r>
      <w:r>
        <w:rPr>
          <w:rFonts w:ascii="Times New Roman" w:hAnsi="Times New Roman"/>
          <w:color w:val="000000"/>
          <w:sz w:val="22"/>
          <w:u w:val="single"/>
        </w:rPr>
        <w:t>Ron Honig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Its:</w:t>
      </w:r>
      <w:r>
        <w:rPr>
          <w:rFonts w:ascii="Times New Roman" w:hAnsi="Times New Roman"/>
          <w:color w:val="000000"/>
          <w:sz w:val="20"/>
          <w:u w:val="single"/>
        </w:rPr>
        <w:t xml:space="preserve"> </w:t>
      </w:r>
      <w:r>
        <w:rPr>
          <w:rFonts w:ascii="Times New Roman" w:hAnsi="Times New Roman"/>
          <w:color w:val="000000"/>
          <w:sz w:val="22"/>
          <w:u w:val="single"/>
        </w:rPr>
        <w:t>Chief Legal Officer</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EXHIBIT A</w:t>
        <w:br/>
        <w:br/>
        <w:t>Sixth Amendment EXPANSION PREMISES</w:t>
      </w:r>
    </w:p>
    <w:p>
      <w:pPr>
        <w:pStyle w:val="TextBody"/>
        <w:bidi w:val="0"/>
        <w:jc w:val="center"/>
        <w:rPr/>
      </w:pPr>
      <w:r>
        <w:rPr/>
        <w:t> </w:t>
      </w:r>
    </w:p>
    <w:p>
      <w:pPr>
        <w:pStyle w:val="TextBody"/>
        <w:bidi w:val="0"/>
        <w:jc w:val="center"/>
        <w:rPr/>
      </w:pPr>
      <w:r>
        <w:rPr/>
        <w:drawing>
          <wp:inline distT="0" distB="0" distL="0" distR="0">
            <wp:extent cx="4600575" cy="2752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4600575" cy="2752725"/>
                    </a:xfrm>
                    <a:prstGeom prst="rect">
                      <a:avLst/>
                    </a:prstGeom>
                  </pic:spPr>
                </pic:pic>
              </a:graphicData>
            </a:graphic>
          </wp:inline>
        </w:drawing>
      </w:r>
    </w:p>
    <w:p>
      <w:pPr>
        <w:pStyle w:val="TextBody"/>
        <w:bidi w:val="0"/>
        <w:jc w:val="left"/>
        <w:rPr/>
      </w:pPr>
      <w:r>
        <w:rPr/>
        <w:t> </w:t>
      </w:r>
    </w:p>
    <w:p>
      <w:pPr>
        <w:pStyle w:val="TextBody"/>
        <w:bidi w:val="0"/>
        <w:spacing w:before="120" w:after="1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bookmarkStart w:id="23" w:name="eypt-ex31_1.htm"/>
      <w:bookmarkStart w:id="24" w:name="kseyptex31_1"/>
      <w:bookmarkEnd w:id="23"/>
      <w:bookmarkEnd w:id="24"/>
      <w:r>
        <w:rPr/>
        <w:t> </w:t>
      </w:r>
      <w:r>
        <w:br w:type="page"/>
      </w:r>
    </w:p>
    <w:p>
      <w:pPr>
        <w:pStyle w:val="TextBody"/>
        <w:bidi w:val="0"/>
        <w:jc w:val="right"/>
        <w:rPr>
          <w:rFonts w:ascii="Times New Roman" w:hAnsi="Times New Roman"/>
          <w:sz w:val="20"/>
        </w:rPr>
      </w:pPr>
      <w:bookmarkStart w:id="25" w:name="page_0_2_1"/>
      <w:bookmarkStart w:id="26" w:name="doc_0_2"/>
      <w:bookmarkEnd w:id="25"/>
      <w:bookmarkEnd w:id="26"/>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 of Principal Executive Officer pursuant to Rule 13a-14(a) and Rule 15d-14(a) of the Securities Exchange Act of 1934, as amended.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S. Duker,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EyePoint,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6811" w:type="dxa"/>
        <w:jc w:val="left"/>
        <w:tblInd w:w="0" w:type="dxa"/>
        <w:tblLayout w:type="fixed"/>
        <w:tblCellMar>
          <w:top w:w="28" w:type="dxa"/>
          <w:left w:w="28" w:type="dxa"/>
          <w:bottom w:w="28" w:type="dxa"/>
          <w:right w:w="28" w:type="dxa"/>
        </w:tblCellMar>
      </w:tblPr>
      <w:tblGrid>
        <w:gridCol w:w="6811"/>
      </w:tblGrid>
      <w:tr>
        <w:trPr/>
        <w:tc>
          <w:tcPr>
            <w:tcW w:w="6811" w:type="dxa"/>
            <w:tcBorders/>
            <w:vAlign w:val="center"/>
          </w:tcPr>
          <w:p>
            <w:pPr>
              <w:pStyle w:val="TableContents"/>
              <w:bidi w:val="0"/>
              <w:spacing w:before="0" w:after="283"/>
              <w:jc w:val="left"/>
              <w:rPr>
                <w:sz w:val="4"/>
                <w:szCs w:val="4"/>
              </w:rPr>
            </w:pPr>
            <w:r>
              <w:rPr>
                <w:sz w:val="4"/>
                <w:szCs w:val="4"/>
              </w:rPr>
            </w:r>
          </w:p>
        </w:tc>
      </w:tr>
      <w:tr>
        <w:trPr/>
        <w:tc>
          <w:tcPr>
            <w:tcW w:w="68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Jay S. Duker</w:t>
            </w:r>
          </w:p>
        </w:tc>
      </w:tr>
      <w:tr>
        <w:trPr/>
        <w:tc>
          <w:tcPr>
            <w:tcW w:w="68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Name: Jay S. Duker, M.D.</w:t>
            </w:r>
          </w:p>
        </w:tc>
      </w:tr>
      <w:tr>
        <w:trPr/>
        <w:tc>
          <w:tcPr>
            <w:tcW w:w="68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Title: President and 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eypt-ex31_2.htm"/>
      <w:bookmarkStart w:id="28" w:name="kseyptex31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 of Principal Financial Officer pursuant to Rule 13a-14(a) and Rule 15d-14(a) of the Securities Exchange Act of 1934, as amended.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O. Elston,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EyePoint,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8281" w:type="dxa"/>
        <w:jc w:val="left"/>
        <w:tblInd w:w="0" w:type="dxa"/>
        <w:tblLayout w:type="fixed"/>
        <w:tblCellMar>
          <w:top w:w="28" w:type="dxa"/>
          <w:left w:w="28" w:type="dxa"/>
          <w:bottom w:w="28" w:type="dxa"/>
          <w:right w:w="28" w:type="dxa"/>
        </w:tblCellMar>
      </w:tblPr>
      <w:tblGrid>
        <w:gridCol w:w="8281"/>
      </w:tblGrid>
      <w:tr>
        <w:trPr/>
        <w:tc>
          <w:tcPr>
            <w:tcW w:w="8281" w:type="dxa"/>
            <w:tcBorders/>
            <w:vAlign w:val="center"/>
          </w:tcPr>
          <w:p>
            <w:pPr>
              <w:pStyle w:val="TableContents"/>
              <w:bidi w:val="0"/>
              <w:spacing w:before="0" w:after="283"/>
              <w:jc w:val="left"/>
              <w:rPr>
                <w:sz w:val="4"/>
                <w:szCs w:val="4"/>
              </w:rPr>
            </w:pPr>
            <w:r>
              <w:rPr>
                <w:sz w:val="4"/>
                <w:szCs w:val="4"/>
              </w:rPr>
            </w:r>
          </w:p>
        </w:tc>
      </w:tr>
      <w:tr>
        <w:trPr/>
        <w:tc>
          <w:tcPr>
            <w:tcW w:w="828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George O. Elston</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Name: George O. Elston </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Title: Chief Financial Officer (Principal Financial Officer and Principal Accounting Officer)</w:t>
            </w:r>
          </w:p>
        </w:tc>
      </w:tr>
      <w:tr>
        <w:trPr/>
        <w:tc>
          <w:tcPr>
            <w:tcW w:w="82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eypt-ex32_1.htm"/>
      <w:bookmarkStart w:id="30" w:name="kseyptex32_1"/>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Quarterly Report of EyePoint, Inc. (the “Company”) on Form 10-Q for the quarter ended June 30, 2026, as filed with the Securities and Exchange Commission on the date hereof (the “Report”), I, Jay S. Duker, President and Chief Executive Officer of the Company, certify that to the best of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spacing w:before="200" w:after="283"/>
        <w:jc w:val="left"/>
        <w:rPr/>
      </w:pPr>
      <w:r>
        <w:rPr/>
        <w:t> </w:t>
      </w:r>
    </w:p>
    <w:tbl>
      <w:tblPr>
        <w:tblW w:w="6811" w:type="dxa"/>
        <w:jc w:val="left"/>
        <w:tblInd w:w="0" w:type="dxa"/>
        <w:tblLayout w:type="fixed"/>
        <w:tblCellMar>
          <w:top w:w="28" w:type="dxa"/>
          <w:left w:w="28" w:type="dxa"/>
          <w:bottom w:w="28" w:type="dxa"/>
          <w:right w:w="28" w:type="dxa"/>
        </w:tblCellMar>
      </w:tblPr>
      <w:tblGrid>
        <w:gridCol w:w="6811"/>
      </w:tblGrid>
      <w:tr>
        <w:trPr/>
        <w:tc>
          <w:tcPr>
            <w:tcW w:w="6811" w:type="dxa"/>
            <w:tcBorders/>
            <w:vAlign w:val="center"/>
          </w:tcPr>
          <w:p>
            <w:pPr>
              <w:pStyle w:val="TableContents"/>
              <w:bidi w:val="0"/>
              <w:spacing w:before="0" w:after="283"/>
              <w:jc w:val="left"/>
              <w:rPr>
                <w:sz w:val="4"/>
                <w:szCs w:val="4"/>
              </w:rPr>
            </w:pPr>
            <w:r>
              <w:rPr>
                <w:sz w:val="4"/>
                <w:szCs w:val="4"/>
              </w:rPr>
            </w:r>
          </w:p>
        </w:tc>
      </w:tr>
      <w:tr>
        <w:trPr/>
        <w:tc>
          <w:tcPr>
            <w:tcW w:w="681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Jay S. Duker</w:t>
            </w:r>
          </w:p>
        </w:tc>
      </w:tr>
      <w:tr>
        <w:trPr/>
        <w:tc>
          <w:tcPr>
            <w:tcW w:w="68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Name: Jay S. Duker, M.D.</w:t>
            </w:r>
          </w:p>
        </w:tc>
      </w:tr>
      <w:tr>
        <w:trPr/>
        <w:tc>
          <w:tcPr>
            <w:tcW w:w="68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Title: President and Chief Executive Officer (Principal Executive Officer)</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eypt-ex32_2.htm"/>
      <w:bookmarkStart w:id="32" w:name="kseyptex32_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Quarterly Report of EyePoint, Inc. (the “Company”) on Form 10-Q for the quarter ended June 30, 2026, as filed with the Securities and Exchange Commission on the date hereof (the “Report”), I, George O. Elston, Chief Financial Officer of the Company, certify that to the best of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spacing w:before="200" w:after="283"/>
        <w:jc w:val="left"/>
        <w:rPr/>
      </w:pPr>
      <w:r>
        <w:rPr/>
        <w:t> </w:t>
      </w:r>
    </w:p>
    <w:tbl>
      <w:tblPr>
        <w:tblW w:w="8281" w:type="dxa"/>
        <w:jc w:val="left"/>
        <w:tblInd w:w="0" w:type="dxa"/>
        <w:tblLayout w:type="fixed"/>
        <w:tblCellMar>
          <w:top w:w="28" w:type="dxa"/>
          <w:left w:w="28" w:type="dxa"/>
          <w:bottom w:w="28" w:type="dxa"/>
          <w:right w:w="28" w:type="dxa"/>
        </w:tblCellMar>
      </w:tblPr>
      <w:tblGrid>
        <w:gridCol w:w="8281"/>
      </w:tblGrid>
      <w:tr>
        <w:trPr/>
        <w:tc>
          <w:tcPr>
            <w:tcW w:w="8281" w:type="dxa"/>
            <w:tcBorders/>
            <w:vAlign w:val="center"/>
          </w:tcPr>
          <w:p>
            <w:pPr>
              <w:pStyle w:val="TableContents"/>
              <w:bidi w:val="0"/>
              <w:spacing w:before="0" w:after="283"/>
              <w:jc w:val="left"/>
              <w:rPr>
                <w:sz w:val="4"/>
                <w:szCs w:val="4"/>
              </w:rPr>
            </w:pPr>
            <w:r>
              <w:rPr>
                <w:sz w:val="4"/>
                <w:szCs w:val="4"/>
              </w:rPr>
            </w:r>
          </w:p>
        </w:tc>
      </w:tr>
      <w:tr>
        <w:trPr/>
        <w:tc>
          <w:tcPr>
            <w:tcW w:w="828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George O. Elston</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Name: George O. Elston </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Title: Chief Financial Officer (Principal Financial Officer and Principal Accounting Officer)</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14102/000095017023022872/eypt-ex2_1.htm" TargetMode="External"/><Relationship Id="rId3" Type="http://schemas.openxmlformats.org/officeDocument/2006/relationships/hyperlink" Target="https://www.sec.gov/Archives/edgar/data/1314102/000095017023022872/eypt-ex2_1.htm" TargetMode="External"/><Relationship Id="rId4" Type="http://schemas.openxmlformats.org/officeDocument/2006/relationships/hyperlink" Target="https://www.sec.gov/Archives/edgar/data/1314102/000119312508136629/dex31.htm" TargetMode="External"/><Relationship Id="rId5" Type="http://schemas.openxmlformats.org/officeDocument/2006/relationships/hyperlink" Target="https://www.sec.gov/Archives/edgar/data/1314102/000119312517283875/d326107dex32.htm" TargetMode="External"/><Relationship Id="rId6" Type="http://schemas.openxmlformats.org/officeDocument/2006/relationships/hyperlink" Target="https://www.sec.gov/Archives/edgar/data/1314102/000119312518104855/d544168dex31.htm" TargetMode="External"/><Relationship Id="rId7" Type="http://schemas.openxmlformats.org/officeDocument/2006/relationships/hyperlink" Target="https://www.sec.gov/Archives/edgar/data/1314102/000119312518205723/d633682dex31.htm" TargetMode="External"/><Relationship Id="rId8" Type="http://schemas.openxmlformats.org/officeDocument/2006/relationships/hyperlink" Target="https://www.sec.gov/Archives/edgar/data/1314102/000156459020030273/eypt-ex31_9.htm" TargetMode="External"/><Relationship Id="rId9" Type="http://schemas.openxmlformats.org/officeDocument/2006/relationships/hyperlink" Target="https://www.sec.gov/Archives/edgar/data/1314102/000156459020056386/eypt-ex31_9.htm" TargetMode="External"/><Relationship Id="rId10" Type="http://schemas.openxmlformats.org/officeDocument/2006/relationships/hyperlink" Target="https://www.sec.gov/Archives/edgar/data/1314102/000119312525310731/d60563dex31.htm" TargetMode="External"/><Relationship Id="rId11" Type="http://schemas.openxmlformats.org/officeDocument/2006/relationships/hyperlink" Target="https://www.sec.gov/Archives/edgar/data/1314102/000119312518276414/d617568dex35.htm" TargetMode="External"/><Relationship Id="rId12" Type="http://schemas.openxmlformats.org/officeDocument/2006/relationships/hyperlink" Target="https://www.sec.gov/Archives/edgar/data/1314102/000119312518318982/d651294dex31.htm" TargetMode="External"/><Relationship Id="rId13" Type="http://schemas.openxmlformats.org/officeDocument/2006/relationships/hyperlink" Target="https://www.sec.gov/Archives/edgar/data/1314102/000119312525310731/d60563dex32.htm" TargetMode="External"/><Relationship Id="rId14" Type="http://schemas.openxmlformats.org/officeDocument/2006/relationships/hyperlink" Target="https://www.sec.gov/Archives/edgar/data/1314102/000119312508136629/dex41.htm" TargetMode="External"/><Relationship Id="rId15" Type="http://schemas.openxmlformats.org/officeDocument/2006/relationships/hyperlink" Target="https://www.sec.gov/Archives/edgar/data/0001314102/000156459021057763/eypt-ex41_93.htm" TargetMode="External"/><Relationship Id="rId16" Type="http://schemas.openxmlformats.org/officeDocument/2006/relationships/hyperlink" Target="https://www.sec.gov/Archives/edgar/data/1314102/000119312525241639/d98837dex41.htm" TargetMode="External"/><Relationship Id="rId17" Type="http://schemas.openxmlformats.org/officeDocument/2006/relationships/hyperlink" Target="https://www.sec.gov/Archives/edgar/data/1314102/000119312526276688/eypt-ex10_1.htm" TargetMode="External"/><Relationship Id="rId18" Type="http://schemas.openxmlformats.org/officeDocument/2006/relationships/hyperlink" Target="https://www.sec.gov/Archives/edgar/data/1314102/000119312526307792/eypt-ex10_1.htm" TargetMode="External"/><Relationship Id="rId19" Type="http://schemas.openxmlformats.org/officeDocument/2006/relationships/hyperlink" Target="https://www.sec.gov/Archives/edgar/data/1314102/000119312526307792/eypt-ex10_2.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19256</Words>
  <Characters>104986</Characters>
  <CharactersWithSpaces>125329</CharactersWithSpaces>
  <Paragraphs>5815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