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EyePoint,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Paradigm BioCapital Advisors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3,142,437.00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3,142,437.00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3,142,437.00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Paradigm BioCapital Advisors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3,142,437.00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3,142,437.00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3,142,437.00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spacing w:after="0" w:line="19" w:lineRule="exact"/>
        <w:rPr>
          <w:sz w:val="20"/>
          <w:szCs w:val="20"/>
          <w:color w:val="auto"/>
        </w:rPr>
      </w:pPr>
    </w:p>
    <w:p>
      <w:pPr>
        <w:ind w:left="1160" w:right="4679" w:hanging="1112"/>
        <w:spacing w:after="0" w:line="371" w:lineRule="auto"/>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3.8 %</w:t>
      </w:r>
    </w:p>
    <w:p>
      <w:pPr>
        <w:spacing w:after="0" w:line="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limited liability company</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Senai Asefaw, M.D.</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57" w:orient="portrait"/>
          <w:cols w:equalWidth="0" w:num="1">
            <w:col w:w="10139"/>
          </w:cols>
          <w:pgMar w:left="320" w:top="111" w:right="1440" w:bottom="0" w:gutter="0" w:footer="0" w:header="0"/>
        </w:sectPr>
      </w:pP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3,142,437.00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3,142,437.00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3,142,437.00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57" w:orient="portrait"/>
          <w:cols w:equalWidth="0" w:num="2">
            <w:col w:w="1100" w:space="60"/>
            <w:col w:w="8979"/>
          </w:cols>
          <w:pgMar w:left="32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jc w:val="right"/>
        <w:ind w:right="5079"/>
        <w:spacing w:after="0"/>
        <w:rPr>
          <w:sz w:val="20"/>
          <w:szCs w:val="20"/>
          <w:color w:val="auto"/>
        </w:rPr>
      </w:pPr>
      <w:r>
        <w:rPr>
          <w:rFonts w:ascii="Times New Roman" w:cs="Times New Roman" w:eastAsia="Times New Roman" w:hAnsi="Times New Roman"/>
          <w:sz w:val="22"/>
          <w:szCs w:val="22"/>
          <w:color w:val="auto"/>
        </w:rPr>
        <w:t>Paradigm BioCapital International Fund Ltd.</w:t>
      </w:r>
    </w:p>
    <w:p>
      <w:pPr>
        <w:sectPr>
          <w:pgSz w:w="11900" w:h="16857" w:orient="portrait"/>
          <w:cols w:equalWidth="0" w:num="1">
            <w:col w:w="10139"/>
          </w:cols>
          <w:pgMar w:left="320" w:top="111" w:right="1440" w:bottom="0" w:gutter="0" w:footer="0" w:header="0"/>
          <w:type w:val="continuous"/>
        </w:sectPr>
      </w:pPr>
    </w:p>
    <w:bookmarkStart w:id="3" w:name="page4"/>
    <w:bookmarkEnd w:id="3"/>
    <w:p>
      <w:pPr>
        <w:ind w:left="1120" w:hanging="1112"/>
        <w:spacing w:after="0"/>
        <w:tabs>
          <w:tab w:leader="none" w:pos="11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258" w:lineRule="exact"/>
        <w:rPr>
          <w:rFonts w:ascii="Times New Roman" w:cs="Times New Roman" w:eastAsia="Times New Roman" w:hAnsi="Times New Roman"/>
          <w:sz w:val="21"/>
          <w:szCs w:val="21"/>
          <w:color w:val="auto"/>
        </w:rPr>
      </w:pPr>
    </w:p>
    <w:p>
      <w:pPr>
        <w:ind w:left="11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rFonts w:ascii="Times New Roman" w:cs="Times New Roman" w:eastAsia="Times New Roman" w:hAnsi="Times New Roman"/>
          <w:sz w:val="21"/>
          <w:szCs w:val="21"/>
          <w:color w:val="auto"/>
        </w:rPr>
      </w:pPr>
    </w:p>
    <w:p>
      <w:pPr>
        <w:ind w:left="11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120"/>
          </w:cols>
          <w:pgMar w:left="360" w:top="112" w:right="419" w:bottom="0" w:gutter="0" w:footer="0" w:header="0"/>
        </w:sectPr>
      </w:pP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8080"/>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810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2,769,062.00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2,769,062.00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2,769,062.00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060" w:space="60"/>
            <w:col w:w="10000"/>
          </w:cols>
          <w:pgMar w:left="360" w:top="112" w:right="419"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EyePoint,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480 Pleasant Street, Watertown, MA 02472</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right="360"/>
        <w:spacing w:after="0" w:line="249" w:lineRule="auto"/>
        <w:rPr>
          <w:sz w:val="20"/>
          <w:szCs w:val="20"/>
          <w:color w:val="auto"/>
        </w:rPr>
      </w:pPr>
      <w:r>
        <w:rPr>
          <w:rFonts w:ascii="Times New Roman" w:cs="Times New Roman" w:eastAsia="Times New Roman" w:hAnsi="Times New Roman"/>
          <w:sz w:val="21"/>
          <w:szCs w:val="21"/>
          <w:color w:val="auto"/>
        </w:rPr>
        <w:t>This Schedule 13G is filed by the following (the "Reporting Persons"): (1) Paradigm BioCapital Advisors LP (the "Adviser"); (2) Paradigm BioCapital Advisors GP LLC (the "Adviser GP"); (3) Senai Asefaw, M.D. ("Senai Asefaw"); and (4) Paradigm BioCapital International Fund Ltd. (the "Fund"). The Fund is a private investment</w:t>
      </w:r>
    </w:p>
    <w:p>
      <w:pPr>
        <w:spacing w:after="0" w:line="1" w:lineRule="exact"/>
        <w:rPr>
          <w:sz w:val="20"/>
          <w:szCs w:val="20"/>
          <w:color w:val="auto"/>
        </w:rPr>
      </w:pPr>
    </w:p>
    <w:p>
      <w:pPr>
        <w:ind w:left="920" w:hanging="912"/>
        <w:spacing w:after="0" w:line="239"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vehicle. The Fund and one or more separately managed accounts managed by the Adviser (the "Account") directly beneficially own the Common Stock reported in this statement. The Adviser is the investment manager of the Fund and the Account. The Adviser GP is the general partner of the Adviser. Senai Asefaw is the managing member of the Adviser GP. The Adviser, the Adviser GP and Senai Asefaw may be deemed to beneficially own the Common Stock directly beneficially owned by the Fund and the Account. Each Reporting Person disclaims beneficial ownership with respect to any Common Stock other than the Common Stock directly beneficially owned by such Reporting Person. Address or principal business office or, if none, residence:</w:t>
      </w:r>
    </w:p>
    <w:p>
      <w:pPr>
        <w:spacing w:after="0" w:line="210" w:lineRule="exact"/>
        <w:rPr>
          <w:rFonts w:ascii="Times New Roman" w:cs="Times New Roman" w:eastAsia="Times New Roman" w:hAnsi="Times New Roman"/>
          <w:sz w:val="22"/>
          <w:szCs w:val="22"/>
          <w:color w:val="auto"/>
        </w:rPr>
      </w:pPr>
    </w:p>
    <w:p>
      <w:pPr>
        <w:ind w:left="920" w:right="280" w:hanging="912"/>
        <w:spacing w:after="0" w:line="244"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principal business office of the Fund is c/o Walkers, 190 Elgin Avenue, George Town, Grand Cayman KY1-9001, Cayman Islands. The principal business office of the Adviser, the Adviser GP and Senai Asefaw is 520 Fifth Avenue, 23rd Floor, New York, NY 10036.</w:t>
      </w:r>
    </w:p>
    <w:p>
      <w:pPr>
        <w:spacing w:after="0" w:line="11"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w:t>
      </w:r>
    </w:p>
    <w:p>
      <w:pPr>
        <w:sectPr>
          <w:pgSz w:w="11900" w:h="16838" w:orient="portrait"/>
          <w:cols w:equalWidth="0" w:num="1">
            <w:col w:w="11120"/>
          </w:cols>
          <w:pgMar w:left="360" w:top="112" w:right="419" w:bottom="0" w:gutter="0" w:footer="0" w:header="0"/>
          <w:type w:val="continuous"/>
        </w:sectPr>
      </w:pPr>
    </w:p>
    <w:bookmarkStart w:id="4" w:name="page5"/>
    <w:bookmarkEnd w:id="4"/>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For citizenship or place of organization see Item 4 of the cover page of each Reporting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$0.001 par value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480"/>
        <w:spacing w:after="0" w:line="258" w:lineRule="auto"/>
        <w:rPr>
          <w:sz w:val="20"/>
          <w:szCs w:val="20"/>
          <w:color w:val="auto"/>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820"/>
        <w:spacing w:after="0" w:line="241" w:lineRule="auto"/>
        <w:rPr>
          <w:sz w:val="20"/>
          <w:szCs w:val="20"/>
          <w:color w:val="auto"/>
        </w:rPr>
      </w:pPr>
      <w:r>
        <w:rPr>
          <w:sz w:val="1"/>
          <w:szCs w:val="1"/>
          <w:color w:val="auto"/>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22"/>
          <w:szCs w:val="22"/>
          <w:color w:val="auto"/>
        </w:rPr>
        <w:t>See Item 9 on the cover page for each Reporting Person, and Item 2, which information is given as of the close of business on March 31, 2026, the Date of Event which requires the filing of this Schedule 13G.</w:t>
      </w: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00" w:lineRule="exact"/>
        <w:rPr>
          <w:sz w:val="20"/>
          <w:szCs w:val="20"/>
          <w:color w:val="auto"/>
        </w:rPr>
      </w:pPr>
    </w:p>
    <w:p>
      <w:pPr>
        <w:sectPr>
          <w:pgSz w:w="11900" w:h="16838" w:orient="portrait"/>
          <w:cols w:equalWidth="0" w:num="2">
            <w:col w:w="620" w:space="300"/>
            <w:col w:w="10020"/>
          </w:cols>
          <w:pgMar w:left="360" w:top="355" w:right="599" w:bottom="0" w:gutter="0" w:footer="0" w:header="0"/>
        </w:sectPr>
      </w:pPr>
    </w:p>
    <w:p>
      <w:pPr>
        <w:spacing w:after="0" w:line="33" w:lineRule="exact"/>
        <w:rPr>
          <w:sz w:val="20"/>
          <w:szCs w:val="20"/>
          <w:color w:val="auto"/>
        </w:rPr>
      </w:pPr>
    </w:p>
    <w:p>
      <w:pPr>
        <w:jc w:val="both"/>
        <w:ind w:left="920" w:hanging="912"/>
        <w:spacing w:after="0" w:line="244" w:lineRule="auto"/>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Item 11 on the cover page for each Reporting Person. The percentages of beneficial ownership contained herein are based on 83,453,001 shares of Common Stock outstanding as of March 31, 2026, as reported by the Issuer in its Form 10-Q filed with the SEC on May 7, 2026. %</w:t>
      </w:r>
    </w:p>
    <w:p>
      <w:pPr>
        <w:spacing w:after="0" w:line="11"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ectPr>
          <w:pgSz w:w="11900" w:h="16838" w:orient="portrait"/>
          <w:cols w:equalWidth="0" w:num="1">
            <w:col w:w="10940"/>
          </w:cols>
          <w:pgMar w:left="360" w:top="355" w:right="59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9.</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Item 5 on the cover page for each Reporting Person.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Item 6 on the cover page for each Reporting Person.</w:t>
      </w:r>
    </w:p>
    <w:p>
      <w:pPr>
        <w:spacing w:after="0" w:line="287" w:lineRule="exact"/>
        <w:rPr>
          <w:sz w:val="20"/>
          <w:szCs w:val="20"/>
          <w:color w:val="auto"/>
        </w:rPr>
      </w:pPr>
    </w:p>
    <w:p>
      <w:pPr>
        <w:jc w:val="both"/>
        <w:ind w:right="5120" w:firstLine="6"/>
        <w:spacing w:after="0" w:line="509" w:lineRule="auto"/>
        <w:tabs>
          <w:tab w:leader="none" w:pos="378"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power to dispose or to direct the disposition of: See Item 7 on the cover page for each Reporting Person.</w:t>
      </w:r>
    </w:p>
    <w:p>
      <w:pPr>
        <w:spacing w:after="0" w:line="1" w:lineRule="exact"/>
        <w:rPr>
          <w:rFonts w:ascii="Times New Roman" w:cs="Times New Roman" w:eastAsia="Times New Roman" w:hAnsi="Times New Roman"/>
          <w:sz w:val="21"/>
          <w:szCs w:val="21"/>
          <w:color w:val="auto"/>
        </w:rPr>
      </w:pPr>
    </w:p>
    <w:p>
      <w:pPr>
        <w:ind w:right="4920" w:firstLine="6"/>
        <w:spacing w:after="0" w:line="509" w:lineRule="auto"/>
        <w:tabs>
          <w:tab w:leader="none" w:pos="366"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Shared power to dispose or to direct the disposition of: See Item 8 on the cover page for each Reporting Person.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ectPr>
          <w:pgSz w:w="11900" w:h="16838" w:orient="portrait"/>
          <w:cols w:equalWidth="0" w:num="2">
            <w:col w:w="620" w:space="300"/>
            <w:col w:w="10020"/>
          </w:cols>
          <w:pgMar w:left="360" w:top="355" w:right="599" w:bottom="0" w:gutter="0" w:footer="0" w:header="0"/>
          <w:type w:val="continuous"/>
        </w:sectPr>
      </w:pPr>
    </w:p>
    <w:bookmarkStart w:id="5" w:name="page6"/>
    <w:bookmarkEnd w:id="5"/>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5"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Paradigm BioCapital Advisors LP</w:t>
      </w:r>
    </w:p>
    <w:p>
      <w:pPr>
        <w:spacing w:after="0" w:line="152" w:lineRule="exact"/>
        <w:rPr>
          <w:sz w:val="20"/>
          <w:szCs w:val="20"/>
          <w:color w:val="auto"/>
        </w:rPr>
      </w:pPr>
    </w:p>
    <w:p>
      <w:pPr>
        <w:ind w:left="4540"/>
        <w:spacing w:after="0"/>
        <w:tabs>
          <w:tab w:leader="none" w:pos="56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David K. Kim</w:t>
      </w:r>
    </w:p>
    <w:p>
      <w:pPr>
        <w:spacing w:after="0" w:line="4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Name/Title: David K. Kim / Authorized Signatory</w:t>
      </w:r>
    </w:p>
    <w:p>
      <w:pPr>
        <w:spacing w:after="0" w:line="44" w:lineRule="exact"/>
        <w:rPr>
          <w:sz w:val="20"/>
          <w:szCs w:val="20"/>
          <w:color w:val="auto"/>
        </w:rPr>
      </w:pPr>
    </w:p>
    <w:p>
      <w:pPr>
        <w:ind w:left="4540"/>
        <w:spacing w:after="0"/>
        <w:tabs>
          <w:tab w:leader="none" w:pos="56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2"/>
          <w:szCs w:val="22"/>
          <w:color w:val="auto"/>
        </w:rPr>
        <w:t>Paradigm BioCapital Advisors GP LLC</w:t>
      </w:r>
    </w:p>
    <w:p>
      <w:pPr>
        <w:spacing w:after="0" w:line="152" w:lineRule="exact"/>
        <w:rPr>
          <w:sz w:val="20"/>
          <w:szCs w:val="20"/>
          <w:color w:val="auto"/>
        </w:rPr>
      </w:pPr>
    </w:p>
    <w:p>
      <w:pPr>
        <w:ind w:left="4540"/>
        <w:spacing w:after="0"/>
        <w:tabs>
          <w:tab w:leader="none" w:pos="56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David K. Kim</w:t>
      </w:r>
    </w:p>
    <w:p>
      <w:pPr>
        <w:spacing w:after="0" w:line="4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Name/Title: David K. Kim / Authorized Signatory</w:t>
      </w:r>
    </w:p>
    <w:p>
      <w:pPr>
        <w:spacing w:after="0" w:line="44" w:lineRule="exact"/>
        <w:rPr>
          <w:sz w:val="20"/>
          <w:szCs w:val="20"/>
          <w:color w:val="auto"/>
        </w:rPr>
      </w:pPr>
    </w:p>
    <w:p>
      <w:pPr>
        <w:ind w:left="4540"/>
        <w:spacing w:after="0"/>
        <w:tabs>
          <w:tab w:leader="none" w:pos="56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2"/>
          <w:szCs w:val="22"/>
          <w:color w:val="auto"/>
        </w:rPr>
        <w:t>Senai Asefaw, M.D.</w:t>
      </w:r>
    </w:p>
    <w:p>
      <w:pPr>
        <w:spacing w:after="0" w:line="152" w:lineRule="exact"/>
        <w:rPr>
          <w:sz w:val="20"/>
          <w:szCs w:val="20"/>
          <w:color w:val="auto"/>
        </w:rPr>
      </w:pPr>
    </w:p>
    <w:p>
      <w:pPr>
        <w:ind w:left="3280"/>
        <w:spacing w:after="0"/>
        <w:tabs>
          <w:tab w:leader="none" w:pos="43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Senai Asefaw, M.D.</w:t>
      </w:r>
    </w:p>
    <w:p>
      <w:pPr>
        <w:spacing w:after="0" w:line="44"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2"/>
          <w:szCs w:val="22"/>
          <w:color w:val="auto"/>
        </w:rPr>
        <w:t>Name/Title: N/A</w:t>
      </w:r>
    </w:p>
    <w:p>
      <w:pPr>
        <w:spacing w:after="0" w:line="44" w:lineRule="exact"/>
        <w:rPr>
          <w:sz w:val="20"/>
          <w:szCs w:val="20"/>
          <w:color w:val="auto"/>
        </w:rPr>
      </w:pPr>
    </w:p>
    <w:p>
      <w:pPr>
        <w:ind w:left="3280"/>
        <w:spacing w:after="0"/>
        <w:tabs>
          <w:tab w:leader="none" w:pos="43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Paradigm BioCapital International Fund Ltd.</w:t>
      </w:r>
    </w:p>
    <w:p>
      <w:pPr>
        <w:spacing w:after="0" w:line="152" w:lineRule="exact"/>
        <w:rPr>
          <w:sz w:val="20"/>
          <w:szCs w:val="20"/>
          <w:color w:val="auto"/>
        </w:rPr>
      </w:pPr>
    </w:p>
    <w:p>
      <w:pPr>
        <w:ind w:left="4540"/>
        <w:spacing w:after="0"/>
        <w:tabs>
          <w:tab w:leader="none" w:pos="56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David K. Kim</w:t>
      </w:r>
    </w:p>
    <w:p>
      <w:pPr>
        <w:spacing w:after="0" w:line="4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Name/Title: David K. Kim / Authorized Signatory</w:t>
      </w:r>
    </w:p>
    <w:p>
      <w:pPr>
        <w:spacing w:after="0" w:line="44" w:lineRule="exact"/>
        <w:rPr>
          <w:sz w:val="20"/>
          <w:szCs w:val="20"/>
          <w:color w:val="auto"/>
        </w:rPr>
      </w:pPr>
    </w:p>
    <w:p>
      <w:pPr>
        <w:ind w:left="4540"/>
        <w:spacing w:after="0"/>
        <w:tabs>
          <w:tab w:leader="none" w:pos="56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sectPr>
      <w:pgSz w:w="11900" w:h="16838" w:orient="portrait"/>
      <w:cols w:equalWidth="0" w:num="1">
        <w:col w:w="11140"/>
      </w:cols>
      <w:pgMar w:left="360" w:top="11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5"/>
      <w:numFmt w:val="bullet"/>
      <w:start w:val="1"/>
    </w:lvl>
  </w:abstractNum>
  <w:abstractNum w:abstractNumId="3">
    <w:nsid w:val="507ED7AB"/>
    <w:multiLevelType w:val="hybridMultilevel"/>
    <w:lvl w:ilvl="0">
      <w:lvlJc w:val="left"/>
      <w:lvlText w:val="%1"/>
      <w:numFmt w:val="decimal"/>
      <w:start w:val="11"/>
    </w:lvl>
  </w:abstractNum>
  <w:abstractNum w:abstractNumId="4">
    <w:nsid w:val="2EB141F2"/>
    <w:multiLevelType w:val="hybridMultilevel"/>
    <w:lvl w:ilvl="0">
      <w:lvlJc w:val="left"/>
      <w:lvlText w:val="2"/>
      <w:numFmt w:val="bullet"/>
      <w:start w:val="1"/>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lowerLetter"/>
      <w:start w:val="2"/>
    </w:lvl>
  </w:abstractNum>
  <w:abstractNum w:abstractNumId="7">
    <w:nsid w:val="7545E146"/>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2026-05-15T15:40:58Z</dcterms:created>
  <dcterms:modified xsi:type="dcterms:W3CDTF">2026-05-15T15:40:58Z</dcterms:modified>
</cp:coreProperties>
</file>