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ypt-20260805.htm"/>
      <w:bookmarkStart w:id="1" w:name="kseypt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EyePoint,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000-51122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26-2774444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480 Pleasant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926-5000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EYPT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On August 5, 2026, EyePoint, Inc. (the “Company”) issued a press release announcing its financial results for the quarter ended June 30, 2026 and certain other information. A copy of the press release is furnished as Exhibit 99.1 hereto.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Also on August 5, 2026, the Company posted an updated investor presentation on its website at www.eyepoint.bio. A copy of the presentation is filed herewith as Exhibit 99.2 and is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0"/>
              <w:jc w:val="center"/>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ypt-ex99_1.htm">
              <w:r>
                <w:rPr>
                  <w:rStyle w:val="InternetLink"/>
                  <w:rFonts w:ascii="Times New Roman" w:hAnsi="Times New Roman"/>
                  <w:color w:val="0000FF"/>
                  <w:sz w:val="20"/>
                  <w:u w:val="single"/>
                </w:rPr>
                <w:t>Press Release of EyePoint, Inc., dated August 5,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ypt-ex99_2.htm">
              <w:r>
                <w:rPr>
                  <w:rStyle w:val="InternetLink"/>
                  <w:rFonts w:ascii="Times New Roman" w:hAnsi="Times New Roman"/>
                  <w:color w:val="0000FF"/>
                  <w:sz w:val="20"/>
                  <w:u w:val="single"/>
                </w:rPr>
                <w:t>Investor Presentation of EyePoint, Inc., dated August 5,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99" w:type="dxa"/>
        <w:jc w:val="left"/>
        <w:tblInd w:w="0" w:type="dxa"/>
        <w:tblLayout w:type="fixed"/>
        <w:tblCellMar>
          <w:top w:w="28" w:type="dxa"/>
          <w:left w:w="28" w:type="dxa"/>
          <w:bottom w:w="28" w:type="dxa"/>
          <w:right w:w="28" w:type="dxa"/>
        </w:tblCellMar>
      </w:tblPr>
      <w:tblGrid>
        <w:gridCol w:w="556"/>
        <w:gridCol w:w="1351"/>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EYEPOINT,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George O. Elston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George O. Elston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eypt-ex99_1.htm"/>
      <w:bookmarkStart w:id="3" w:name="kseyptex99_1"/>
      <w:bookmarkEnd w:id="2"/>
      <w:bookmarkEnd w:id="3"/>
      <w:r>
        <w:rPr>
          <w:rFonts w:ascii="Times New Roman" w:hAnsi="Times New Roman"/>
          <w:b/>
          <w:color w:val="000000"/>
          <w:sz w:val="22"/>
        </w:rPr>
        <w:t>Exhibit 99.1</w:t>
      </w:r>
      <w:r>
        <w:br w:type="page"/>
      </w:r>
    </w:p>
    <w:p>
      <w:pPr>
        <w:pStyle w:val="TextBody"/>
        <w:bidi w:val="0"/>
        <w:jc w:val="left"/>
        <w:rPr/>
      </w:pPr>
      <w:r>
        <w:rPr/>
        <w:drawing>
          <wp:inline distT="0" distB="0" distL="0" distR="0">
            <wp:extent cx="21812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EyePoint Reports Second Quarter 2026 Financial Results and Highlights Recent Corporate Developments</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Topline data from LUGANO pivotal Phase 3 wet AMD clinical trial expected in August 2026 ––</w:t>
      </w:r>
    </w:p>
    <w:p>
      <w:pPr>
        <w:pStyle w:val="TextBody"/>
        <w:bidi w:val="0"/>
        <w:spacing w:before="0" w:after="160"/>
        <w:jc w:val="center"/>
        <w:rPr/>
      </w:pPr>
      <w:r>
        <w:rPr>
          <w:color w:val="000000"/>
        </w:rPr>
        <w:t xml:space="preserve">– </w:t>
      </w:r>
      <w:r>
        <w:rPr>
          <w:rFonts w:ascii="Times New Roman" w:hAnsi="Times New Roman"/>
          <w:i/>
          <w:color w:val="000000"/>
          <w:sz w:val="22"/>
        </w:rPr>
        <w:t>Topline data from LUCIA pivotal Phase 3 wet AMD clinical trial anticipated in Q4 2026 ––</w:t>
      </w:r>
      <w:r>
        <w:rPr>
          <w:rFonts w:ascii="Times New Roman" w:hAnsi="Times New Roman"/>
          <w:color w:val="000000"/>
          <w:sz w:val="20"/>
        </w:rPr>
        <w:t xml:space="preserve"> </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Pivotal Phase 3 DME clinical trials, COMO and CAPRI, fully enrolled over 480 patients in 5 months; topline data expected in Q4 2027 ––</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$180 million of cash and investments as of June 30, 2026, with runway into Q4 2027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WATERTOWN, Mass., August 5, 2026 (GLOBE NEWSWIRE) – EyePoint, Inc. (Nasdaq: EYPT), a company committed to developing and commercializing innovative therapeutics to improve the lives of patients with serious retinal diseases, today announced financial results for the second quarter ended June 30, 2026, and highlighted recent corporate developments.</w:t>
      </w:r>
    </w:p>
    <w:p>
      <w:pPr>
        <w:pStyle w:val="TextBody"/>
        <w:bidi w:val="0"/>
        <w:spacing w:before="0" w:after="160"/>
        <w:jc w:val="left"/>
        <w:rPr/>
      </w:pPr>
      <w:r>
        <w:rPr>
          <w:color w:val="000000"/>
        </w:rPr>
        <w:t>“</w:t>
      </w:r>
      <w:r>
        <w:rPr>
          <w:rFonts w:ascii="Times New Roman" w:hAnsi="Times New Roman"/>
          <w:color w:val="000000"/>
          <w:sz w:val="22"/>
        </w:rPr>
        <w:t>With topline data from our pivotal Phase 3 LUGANO wet AMD trial expected this month, followed by LUCIA in the fourth quarter, and enrollment now completed in our pivotal Phase 3 DME program, we continue to execute across our clinical programs,” said Jay S. Duker, M.D., President and Chief Executive Officer of EyePoint. “The LUGANO and LUCIA data readouts represent transformative advancement in the wet AMD landscape, potentially positioning DURAVYU as the foundational treatment option for sustained patient care.”</w:t>
      </w:r>
      <w:r>
        <w:rPr>
          <w:rFonts w:ascii="Times New Roman" w:hAnsi="Times New Roman"/>
          <w:color w:val="000000"/>
          <w:sz w:val="20"/>
        </w:rPr>
        <w:t xml:space="preserve">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R&amp;D Updates:</w:t>
      </w:r>
    </w:p>
    <w:p>
      <w:pPr>
        <w:pStyle w:val="TextBody"/>
        <w:bidi w:val="0"/>
        <w:spacing w:before="0" w:after="160"/>
        <w:jc w:val="left"/>
        <w:rPr>
          <w:rFonts w:ascii="Times New Roman" w:hAnsi="Times New Roman"/>
          <w:sz w:val="20"/>
        </w:rPr>
      </w:pPr>
      <w:r>
        <w:rPr>
          <w:rFonts w:ascii="Times New Roman" w:hAnsi="Times New Roman"/>
          <w:b/>
          <w:color w:val="000000"/>
          <w:sz w:val="22"/>
        </w:rPr>
        <w:t xml:space="preserve">DURAVYU </w:t>
      </w:r>
      <w:r>
        <w:rPr>
          <w:rFonts w:ascii="Times New Roman" w:hAnsi="Times New Roman"/>
          <w:i/>
          <w:color w:val="000000"/>
          <w:sz w:val="22"/>
        </w:rPr>
        <w:t xml:space="preserve">(vorolanib intravitreal insert) </w:t>
      </w:r>
    </w:p>
    <w:p>
      <w:pPr>
        <w:pStyle w:val="TextBody"/>
        <w:bidi w:val="0"/>
        <w:spacing w:before="0" w:after="160"/>
        <w:jc w:val="left"/>
        <w:rPr>
          <w:rFonts w:ascii="Times New Roman" w:hAnsi="Times New Roman"/>
          <w:i/>
          <w:color w:val="000000"/>
          <w:sz w:val="22"/>
        </w:rPr>
      </w:pPr>
      <w:r>
        <w:rPr>
          <w:rFonts w:ascii="Times New Roman" w:hAnsi="Times New Roman"/>
          <w:i/>
          <w:color w:val="000000"/>
          <w:sz w:val="22"/>
        </w:rPr>
        <w:t>Wet Age-Related Macular Degeneration (Wet AMD)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Pivotal Phase 3 wet AMD clinical trials are on track, with topline data readout for LUGANO expected in August 2026. LUCIA topline data results are expected in the fourth quarter of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two identical non-inferiority trials versus on-label aflibercept enrolled over 900 patients, include every six-month re-dosing of DURAVYU, were designed in alignment with the FDA, and follow a clear and recognized regulatory approval pathway.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 xml:space="preserve">In May 2026, a positive Data Safety Monitoring Committee (DSMC) meeting recommended that both the LUGANO and LUCIA trials continue as planned with no protocol modifications. The interim masked Phase 3 safety data remain consistent with the favorable safety observed in four previously completed DURAVYU clinical trials in over 190 patients, with no drug-related safety concerns. </w:t>
      </w:r>
    </w:p>
    <w:p>
      <w:pPr>
        <w:pStyle w:val="TextBody"/>
        <w:bidi w:val="0"/>
        <w:spacing w:before="0" w:after="160"/>
        <w:jc w:val="left"/>
        <w:rPr>
          <w:rFonts w:ascii="Times New Roman" w:hAnsi="Times New Roman"/>
          <w:i/>
          <w:color w:val="000000"/>
          <w:sz w:val="22"/>
        </w:rPr>
      </w:pPr>
      <w:r>
        <w:rPr>
          <w:rFonts w:ascii="Times New Roman" w:hAnsi="Times New Roman"/>
          <w:i/>
          <w:color w:val="000000"/>
          <w:sz w:val="22"/>
        </w:rPr>
        <w:t>Diabetic Macular Edema (DME)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Pivotal Phase 3 COMO and CAPRI clinical trials have completed enrollment, together enrolling over 480 patients in five months.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identical non-inferiority trials versus an on-label aflibercept control include every six-month re-dosing and follow a clear and recognized regulatory approval pathway.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Topline data for both DME trials are anticipated in the fourth quarter of 2027.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rFonts w:ascii="Times New Roman" w:hAnsi="Times New Roman"/>
          <w:i/>
          <w:color w:val="000000"/>
          <w:sz w:val="22"/>
        </w:rPr>
      </w:pPr>
      <w:r>
        <w:rPr>
          <w:rFonts w:ascii="Times New Roman" w:hAnsi="Times New Roman"/>
          <w:i/>
          <w:color w:val="000000"/>
          <w:sz w:val="22"/>
        </w:rPr>
        <w:t>Recent and Upcoming Presentations at Medical Conferences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In May 2026, we presented new preclinical data at the Association for Research in Vision and Ophthalmology (ARVO) 2026 Annual Meeting that further demonstrates vorolanib’s inhibition of pro-inflammatory IL-6 signaling.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Times New Roman" w:hAnsi="Times New Roman"/>
          <w:color w:val="000000"/>
          <w:sz w:val="22"/>
        </w:rPr>
        <w:t xml:space="preserve">Through extensive </w:t>
      </w:r>
      <w:r>
        <w:rPr>
          <w:rFonts w:ascii="Times New Roman" w:hAnsi="Times New Roman"/>
          <w:i/>
          <w:color w:val="000000"/>
          <w:sz w:val="22"/>
        </w:rPr>
        <w:t>in vitro</w:t>
      </w:r>
      <w:r>
        <w:rPr>
          <w:color w:val="000000"/>
        </w:rPr>
        <w:t xml:space="preserve"> </w:t>
      </w:r>
      <w:r>
        <w:rPr>
          <w:rFonts w:ascii="Times New Roman" w:hAnsi="Times New Roman"/>
          <w:color w:val="000000"/>
          <w:sz w:val="22"/>
        </w:rPr>
        <w:t xml:space="preserve">and </w:t>
      </w:r>
      <w:r>
        <w:rPr>
          <w:rFonts w:ascii="Times New Roman" w:hAnsi="Times New Roman"/>
          <w:i/>
          <w:color w:val="000000"/>
          <w:sz w:val="22"/>
        </w:rPr>
        <w:t>in vivo</w:t>
      </w:r>
      <w:r>
        <w:rPr>
          <w:color w:val="000000"/>
        </w:rPr>
        <w:t xml:space="preserve"> </w:t>
      </w:r>
      <w:r>
        <w:rPr>
          <w:rFonts w:ascii="Times New Roman" w:hAnsi="Times New Roman"/>
          <w:color w:val="000000"/>
          <w:sz w:val="22"/>
        </w:rPr>
        <w:t>studies, vorolanib was identified as a potent inhibitor of JAK1, a critical transducer of IL-6 signaling. These data further highlight DURAVYU's multi-mechanism of action and its potential to deliver a synergistic anti-inflammatory effect alongside its established VEGF receptor and PDGF receptor inhibition in the treatment of wet AMD and DME.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 July 2026, we delivered multiple oral presentations at the American Society of Retina Specialists (“ASRS”) Annual Meeting supporting DURAVYU’s potentially best-in-class therapeutic profile as a sustained release tyrosine kinase inhibitor (TKI) being developed for multiple indications: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 characterization of the multi-mechanism of action of DURAVYU in retinal exudative diseases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Overview of key learnings from the Phase 2 DAVIO 2 clinical trial in wet AMD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Post-hoc analyses of patients from the Phase 2 DAVIO 2 clinical trial who met Phase 3 criteria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Overview of DME clinical program and key learnings: from the Phase 2 VERONA trial to pivotal Phase 3</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Accepted to deliver multiple presentations at the Retina Society Annual Meeting in September, underscoring the multi-modal activity and broad treatment potential of DURAVYU and enthusiasm from the retinal community for new treatment options in multiple serious retinal diseases. This will be the first conference where LUGANO data will be presented to the retinal community.</w:t>
      </w:r>
    </w:p>
    <w:p>
      <w:pPr>
        <w:pStyle w:val="TextBody"/>
        <w:bidi w:val="0"/>
        <w:spacing w:before="0" w:after="160"/>
        <w:jc w:val="left"/>
        <w:rPr>
          <w:rFonts w:ascii="Times New Roman" w:hAnsi="Times New Roman"/>
          <w:sz w:val="20"/>
        </w:rPr>
      </w:pPr>
      <w:r>
        <w:rPr>
          <w:rFonts w:ascii="Times New Roman" w:hAnsi="Times New Roman"/>
          <w:b/>
          <w:color w:val="000000"/>
          <w:sz w:val="22"/>
        </w:rPr>
        <w:t>Recent Corporate Highlight</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In July 2026, Tarek S. Hassan, M.D., was appointed as Chief Strategic Science Officer. A globally recognized retina specialist and key opinion leader with more than 35 years of experience, Dr. Hassan provides strategic guidance across the Company’s portfolio to optimize development, potential commercialization, and growth opportunities.</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Review of Results for the Second Quarter Ended June 30, 2026</w:t>
      </w:r>
    </w:p>
    <w:p>
      <w:pPr>
        <w:pStyle w:val="TextBody"/>
        <w:bidi w:val="0"/>
        <w:spacing w:before="0" w:after="160"/>
        <w:jc w:val="left"/>
        <w:rPr>
          <w:rFonts w:ascii="Times New Roman" w:hAnsi="Times New Roman"/>
          <w:sz w:val="20"/>
        </w:rPr>
      </w:pPr>
      <w:r>
        <w:rPr>
          <w:rFonts w:ascii="Times New Roman" w:hAnsi="Times New Roman"/>
          <w:color w:val="000000"/>
          <w:sz w:val="22"/>
        </w:rPr>
        <w:t>For the quarter ended June 30, 2026, total net revenue was $0.5 million compared to $5.3 million for the corresponding period in 2025. The decrease was primarily driven by the recognition of remaining deferred revenue related to the Company’s 2023 agreement for the license of YUTIQ</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product rights.</w:t>
      </w:r>
    </w:p>
    <w:p>
      <w:pPr>
        <w:pStyle w:val="TextBody"/>
        <w:bidi w:val="0"/>
        <w:spacing w:before="0" w:after="160"/>
        <w:jc w:val="left"/>
        <w:rPr>
          <w:rFonts w:ascii="Times New Roman" w:hAnsi="Times New Roman"/>
          <w:sz w:val="20"/>
        </w:rPr>
      </w:pPr>
      <w:r>
        <w:rPr>
          <w:rFonts w:ascii="Times New Roman" w:hAnsi="Times New Roman"/>
          <w:color w:val="000000"/>
          <w:sz w:val="22"/>
        </w:rPr>
        <w:t>Operating expenses for the quarter ended June 30, 2026, totaled $97.9 million versus $67.6 million for the corresponding period in 2025. This increase was primarily attributable to ongoing DURAVYU Phase 3 clinical trials for wet AMD and DME and scale-up of our commercial manufacturing facility.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Net non-operating income totaled $2.9 million and net loss was $94.5 million, or ($1.09) per share, compared to a net loss of $59.4 million, or ($0.85) per share, for the corresponding period in 2025.</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Cash, cash equivalents, and marketable securities as of June 30, 2026, totaled $180 million compared to $223 million as of March 31,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Financial Outlook</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We expect the cash, cash equivalents, and marketable securities as of June 30, 2026, will enable us to fund operations into the fourth quarter of 2027 beyond key milestones for the Phase 3 wet AMD program in 2026.</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Conference Call Information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In light of the upcoming topline data readout for the pivotal Phase 3 LUGANO clinical trial in wet AMD, EyePoint will not be hosting an earnings-related conference call. The Company plans to provide an update in conjunction with topline data.</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EyePoint</w:t>
      </w:r>
    </w:p>
    <w:p>
      <w:pPr>
        <w:pStyle w:val="TextBody"/>
        <w:bidi w:val="0"/>
        <w:spacing w:before="0" w:after="160"/>
        <w:jc w:val="left"/>
        <w:rPr>
          <w:rFonts w:ascii="Times New Roman" w:hAnsi="Times New Roman"/>
          <w:sz w:val="20"/>
        </w:rPr>
      </w:pPr>
      <w:r>
        <w:rPr>
          <w:rFonts w:ascii="Times New Roman" w:hAnsi="Times New Roman"/>
          <w:color w:val="000000"/>
          <w:sz w:val="22"/>
        </w:rPr>
        <w:t>EyePoint, Inc. (Nasdaq: EYPT) is a clinical-stage biopharmaceutical company committed to developing and commercializing innovative therapeutics to improve the lives of patients with serious retinal diseases. The Company’s lead product candidate, DURAVYU, is an innovative investigational sustained delivery treatment for serious retinal diseases combining vorolanib, a selective and patent-protected tyrosine kinase inhibitor, in next-generation bioerodible Durasert E technology. Supported by robust safety and efficacy data across multiple clinical trials and indications, DURAVYU is currently being evaluated in Phase 3 pivotal trials for wet age-related macular degeneration (wet AMD) and diabetic macular edema (DME). Topline data is expected for wet AMD beginning in August 2026 and for DME in the fourth quarter of 2027.</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Company is committed to partnering with the retinal community to improve patient lives while creating long-term value, with four approved drugs over three decades and tens of thousands of eyes treated with EyePoint innovation.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EyePoint is headquartered in Watertown, Massachusetts, with a commercial manufacturing facility in Northbridge, Massachusetts.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Vorolanib is licensed to EyePoint exclusively by Equinox Sciences, a Betta Pharmaceuticals affiliate, for the localized treatment of all ophthalmic diseases outside of China, Macao, Hong Kong and Taiwan.</w:t>
      </w:r>
    </w:p>
    <w:p>
      <w:pPr>
        <w:pStyle w:val="TextBody"/>
        <w:bidi w:val="0"/>
        <w:spacing w:before="0" w:after="160"/>
        <w:jc w:val="left"/>
        <w:rPr>
          <w:rFonts w:ascii="Times New Roman" w:hAnsi="Times New Roman"/>
          <w:sz w:val="20"/>
        </w:rPr>
      </w:pPr>
      <w:r>
        <w:rPr>
          <w:rFonts w:ascii="Times New Roman" w:hAnsi="Times New Roman"/>
          <w:i/>
          <w:color w:val="000000"/>
          <w:sz w:val="22"/>
        </w:rPr>
        <w:t>DURAVYU</w:t>
      </w:r>
      <w:r>
        <w:rPr>
          <w:rFonts w:ascii="Times New Roman" w:hAnsi="Times New Roman"/>
          <w:i/>
          <w:color w:val="000000"/>
          <w:sz w:val="15"/>
        </w:rPr>
        <w:t></w:t>
      </w:r>
      <w:r>
        <w:rPr>
          <w:rFonts w:ascii="Times New Roman" w:hAnsi="Times New Roman"/>
          <w:color w:val="000000"/>
          <w:sz w:val="20"/>
        </w:rPr>
        <w:t xml:space="preserve"> </w:t>
      </w:r>
      <w:r>
        <w:rPr>
          <w:rFonts w:ascii="Times New Roman" w:hAnsi="Times New Roman"/>
          <w:i/>
          <w:color w:val="000000"/>
          <w:sz w:val="22"/>
        </w:rPr>
        <w:t>has been conditionally accepted by the FDA as the proprietary name for EYP-1901. DURAVYU is an investigational product; it has not been approved by the FDA. FDA approval and the timeline for potential approval is uncertain.</w:t>
      </w:r>
    </w:p>
    <w:p>
      <w:pPr>
        <w:pStyle w:val="TextBody"/>
        <w:bidi w:val="0"/>
        <w:spacing w:before="80" w:after="160"/>
        <w:jc w:val="left"/>
        <w:rPr>
          <w:rFonts w:ascii="Times New Roman" w:hAnsi="Times New Roman"/>
          <w:b/>
          <w:color w:val="000000"/>
          <w:sz w:val="22"/>
        </w:rPr>
      </w:pPr>
      <w:r>
        <w:rPr>
          <w:rFonts w:ascii="Times New Roman" w:hAnsi="Times New Roman"/>
          <w:b/>
          <w:color w:val="000000"/>
          <w:sz w:val="22"/>
        </w:rPr>
        <w:t>Forward Looking Statements</w:t>
      </w:r>
    </w:p>
    <w:p>
      <w:pPr>
        <w:pStyle w:val="TextBody"/>
        <w:bidi w:val="0"/>
        <w:spacing w:before="0" w:after="160"/>
        <w:jc w:val="left"/>
        <w:rPr>
          <w:rFonts w:ascii="Times New Roman" w:hAnsi="Times New Roman"/>
          <w:sz w:val="20"/>
        </w:rPr>
      </w:pPr>
      <w:bookmarkStart w:id="4" w:name="range_b10_f55"/>
      <w:bookmarkEnd w:id="4"/>
      <w:r>
        <w:rPr>
          <w:rFonts w:ascii="Times New Roman" w:hAnsi="Times New Roman"/>
          <w:color w:val="000000"/>
          <w:sz w:val="22"/>
        </w:rPr>
        <w:t>EYEPOINT SAFE HARBOR STATEMENTS UNDER THE PRIVATE SECURITIES LITIGATION ACT OF 1995: To the extent any statements made in this press release deal with information that is not historical, these are forward-looking statements under the Private Securities Litigation Reform Act of 1995. Such statements include, but are not limited to, statements regarding our expectations regarding our clinical development and regulatory plans; our belief that DURAVYU</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is well-positioned to be the first-to-market among all investigational sustained release treatments for the two largest retinal disease markets, wet AMD and DME; our belief that DURAVYU is the only TKI in development for DME; our belief that DURAVYU is uniquely positioned to potentially address both VEGF-mediated vascular leakage and IL-6 mediated inflammatory drivers of DME as a sustained delivery therapy; our belief that DURAVYU’s potential real-world application in multiple retinal disease indications and established trial designs position DURAVYU for clinical and commercial success; our expectations regarding the timing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of the availability and release of wet AMD and DME clinical data; our financial position and expected cash runway; our belief that DURAVYU has the potential to maintain a majority of patients with active disease with no supplemental anti-VEGF therapy for six months or longer; our beliefs regarding the potential market opportunity for DURAVYU in wet AMD and DME; our ability to continue to scale operations at our commercial manufacturing facility in Northbridge, Massachusetts; our expectations that our manufacturing facility will continue to meet FDA and EMA standards and support commercialization efforts of DURAVYU upon regulatory approval; and our expectations regarding the timing and clinical development of our other product candidates; and other statements regarding the Company’s future plans, objectives, strategies and beliefs, as identified by words such as “will,” “potential,” “could,” “can,” “believe,” “intends,” “continue,” “plans,” “expects,” “anticipates,” “estimates,” “may,” or other words of similar meaning or the use of future dates.</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uncertainties regarding the FDA warning letter pertaining to the Company’s Watertown, MA manufacturing facility; and other factors described in our filings with the Securities and Exchange Commission.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A more complete discussion of the risks and uncertainties that may cause our actual results to differ materially from those expressed or implied in the forward-looking statements in this press release are described under the heading “Risk Factors” in our most recent Annual Report on Form 10-K, in our other filings with the Securities and Exchange Commission (SEC) and in our future reports to be filed with the SEC, which are available at </w:t>
      </w:r>
      <w:r>
        <w:rPr>
          <w:rFonts w:ascii="Times New Roman" w:hAnsi="Times New Roman"/>
          <w:sz w:val="22"/>
        </w:rPr>
        <w:t>www.sec.gov</w:t>
      </w:r>
      <w:r>
        <w:rPr>
          <w:rFonts w:ascii="Times New Roman" w:hAnsi="Times New Roman"/>
          <w:color w:val="000000"/>
          <w:sz w:val="22"/>
        </w:rPr>
        <w:t>. Our forward-looking statements speak only as of the dates on which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they are made. EyePoint undertakes no obligation to update or revise any forward-looking statement, whether as a result of new information, future events, or otherwise.</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rPr>
        <w:t>Investors:</w:t>
        <w:br/>
      </w:r>
      <w:r>
        <w:rPr>
          <w:rFonts w:ascii="Times New Roman" w:hAnsi="Times New Roman"/>
          <w:color w:val="000000"/>
          <w:sz w:val="22"/>
        </w:rPr>
        <w:t>Robin Garner</w:t>
        <w:br/>
        <w:t>EyePoint, Inc.</w:t>
        <w:br/>
      </w:r>
      <w:r>
        <w:rPr>
          <w:rFonts w:ascii="Times New Roman" w:hAnsi="Times New Roman"/>
          <w:sz w:val="22"/>
        </w:rPr>
        <w:t>ir@eyepoint.bio</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rPr>
        <w:t>Media:</w:t>
        <w:br/>
      </w:r>
      <w:r>
        <w:rPr>
          <w:rFonts w:ascii="Times New Roman" w:hAnsi="Times New Roman"/>
          <w:color w:val="000000"/>
          <w:sz w:val="22"/>
        </w:rPr>
        <w:t>Helen O’Gorman</w:t>
        <w:br/>
        <w:t>FTI Consulting</w:t>
        <w:br/>
      </w:r>
      <w:r>
        <w:rPr>
          <w:rFonts w:ascii="Times New Roman" w:hAnsi="Times New Roman"/>
          <w:sz w:val="22"/>
        </w:rPr>
        <w:t>media@eyepoint.bio</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EYEPOINT,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p>
      <w:pPr>
        <w:pStyle w:val="TextBody"/>
        <w:bidi w:val="0"/>
        <w:spacing w:before="0" w:after="160"/>
        <w:jc w:val="left"/>
        <w:rPr/>
      </w:pPr>
      <w:r>
        <w:rPr/>
        <w:t> </w:t>
      </w:r>
    </w:p>
    <w:tbl>
      <w:tblPr>
        <w:tblW w:w="7117" w:type="dxa"/>
        <w:jc w:val="left"/>
        <w:tblInd w:w="0" w:type="dxa"/>
        <w:tblLayout w:type="fixed"/>
        <w:tblCellMar>
          <w:top w:w="28" w:type="dxa"/>
          <w:left w:w="28" w:type="dxa"/>
          <w:bottom w:w="28" w:type="dxa"/>
          <w:right w:w="28" w:type="dxa"/>
        </w:tblCellMar>
      </w:tblPr>
      <w:tblGrid>
        <w:gridCol w:w="3786"/>
        <w:gridCol w:w="146"/>
        <w:gridCol w:w="211"/>
        <w:gridCol w:w="991"/>
        <w:gridCol w:w="166"/>
        <w:gridCol w:w="146"/>
        <w:gridCol w:w="221"/>
        <w:gridCol w:w="1039"/>
        <w:gridCol w:w="411"/>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and other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1,410,130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drawing>
          <wp:inline distT="0" distB="0" distL="0" distR="0">
            <wp:extent cx="2181225"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81225" cy="4476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EYEPOINT,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34"/>
        <w:gridCol w:w="146"/>
        <w:gridCol w:w="211"/>
        <w:gridCol w:w="736"/>
        <w:gridCol w:w="166"/>
        <w:gridCol w:w="146"/>
        <w:gridCol w:w="211"/>
        <w:gridCol w:w="736"/>
        <w:gridCol w:w="166"/>
        <w:gridCol w:w="146"/>
        <w:gridCol w:w="211"/>
        <w:gridCol w:w="841"/>
        <w:gridCol w:w="166"/>
        <w:gridCol w:w="146"/>
        <w:gridCol w:w="211"/>
        <w:gridCol w:w="841"/>
        <w:gridCol w:w="591"/>
      </w:tblGrid>
      <w:tr>
        <w:trPr/>
        <w:tc>
          <w:tcPr>
            <w:tcW w:w="4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5" w:name="eypt-ex99_2.htm"/>
      <w:bookmarkStart w:id="6" w:name="kseyptex99_2"/>
      <w:bookmarkEnd w:id="5"/>
      <w:bookmarkEnd w:id="6"/>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Investor Presentation August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Disclaimers Various statements made in this presentation are forward-looking, within the meaning of the U.S. Private Securities Litigation Reform Act of 1995, and are inherently subject to risks, uncertainties and potentially inaccurate assumptions. All statements that address activities, events or developments that we intend, expect, plan or believe may occur in the future, are forward-looking statements, including but not limited to statements regarding: our expectations regarding our clinical development and regulatory plans; our belief that DURAVYU is on track and well-positioned to be the first-to-market among all investigational sustained release treatments for the two largest retinal disease markets, wet AMD and DME; our belief that DURAVYU is the only TKI in development for DME; our belief that DURAVYU is uniquely positioned to potentially address both VEGF-mediated vascular leakage and IL-6 mediated inflammatory drivers of DME as a sustained delivery therapy; our belief that DURAVYU’s potential real-world application in multiple retinal disease indications and established, de-risked trial designs position DURAVYU for clinical and commercial success; our expectations regarding the timing of the availability and release of wet AMD and DME clinical data; our financial position and expected cash runway; our belief that DURAVYU has the potential to maintain a majority of patients with active disease with no supplemental anti-VEGF therapy for six months or longer; our beliefs regarding potential market opportunity for DURAVYU in wet AMD and DME; our ability to scale operations at our commercial manufacturing facility in Northbridge, Massachusetts; our expectations that our manufacturing facility will continue to meet FDA and EMA standards and support commercialization efforts of DURAVYU upon regulatory approval; our expectations regarding the timing and clinical and regulatory development of our other product candidates; and other statements regarding the Company’s future plans, objectives, strategies and beliefs, including the use of future dates. 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uncertainties regarding the FDA warning letter pertaining to the Company’s Watertown, Massachusetts manufacturing facility; and other factors described in our filings with the Securities and Exchange Commission (SEC). More detailed information on these and additional factors that could affect our actual results are described in our filings with the SEC, including our Annual Report on Form 10-K for the fiscal year ended December 31, 2025, as revised or supplemented by our Quarterly Reports on Form 10-Q and other documents filed with the SEC.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Our forward-looking statements speak only as of the dates on which they are made. EyePoint undertakes no obligation to update or revise any forward-looking statement, whether as a result of new information, future events, or otherwise.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Leader in Sustained Release Drug Delivery for Retinal Disease 1.Unaudited estimate as of June 30, 2026. ?AMD, age-related macular degeneration; DME, diabetic macular edema DURAVYUTM has been conditionally accepted by the FDA as the proprietary name for DURAVYU. DURAVYU is an investigational product; it has not been approved by the FDA.?FDA approval and the timeline for potential approval is uncertain. These data are preliminary. Conclusive evidence of efficacy and safety of DURAVYU will require further investigation in well-controlled Phase 3 clinical trials. DURAVYU Phase 3 DME trials COMO and CAPRI enrollment complete with topline data anticipated Q4 2027 DURAVYU Phase 3 wet AMD trials LUGANO and LUCIA topline data anticipated beginning in August 2026 $180M in cash and investments supports operational runway into Q4 20271 Positive safety and efficacy data for DURAVYU in 190+ patients across four ?Phase 1 &amp; 2 trials Commercial manufacturing scale-up underway in state-of-art facility in Northbridge, MA, USA Veteran leadership team with 3+ decades of expertise across clinical drug development, commercialization and manufacturing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in Phase 3 Trials For the Two Largest Retinal Disease Markets AMD, wet age-related macular degeneration; DME, diabetic macular edema; FDA, Food and Drug Administration Durasert E Programs Indication Discovery Pre-Clin Phase 1 Phase 2 Phase 3 Anticipated Milestone DURAVYU (vorolanib intravitreal insert a/k/a EYP-1901) Wet AMD DME Undisclosed Retinal diseases LUGANO topline in August 2026; ?LUCIA topline in 4Q’26 COMO and CAPRI topline in 4Q’27 LUGANO and LUCIA fully enrolled COMO and CAPRI fully enrolled DURAVYU (EYP-1901) is an investigational product. The safety and efficacy of EYP-1901 has not been established and the US FDA has not approved EYP-1901.  The materials discussed in this presentation do not predict future FDA approval.  Conclusive evidence of efficacy and safety of EYP-1901 will require further investigation in well-controlled Phase 3 clinical trials. Wet AMD and DME represent a combined $15B+ global market opportunity and &gt;80% of the total branded retinal market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Products Addressing Unmet Needs in Retinal Disease Capture Meaningful Market Share in $15B Anti-VEGF Market 1. Publicly reported sales; 2. Lucentis package insert; 3. Khanani et. al, The Real-World Efficacy and Safety of Faricimab in Neovascular Age Related Macular Degeneration: TRUCKEE Study – 2 Year Results?VEGF, vascular endothelial growth factor. Modest improvements in durability and disease control are ?rewarded by the market Durability ~30 days2 Year 3 Sales $1.8B Durability ~44 days3 Year 3 Sales $3.3B Durability ~57 days3 Year 3 Sales $4.3B Total Global Branded Anti-VEGF Sales1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Longer Duration and New MOA are Key Unmet Needs in the Current Retinal Disease Treatment Paradigm Insert not drawn to scale and is enlarged for illustrative purposes. The investigational dose for phase 3 trials is 2.7mg (two inserts) administered with one injection.?MOA, mechanism of action; IL-6, interleukin 6; VEGF, vascular endothelial growth factor; TKI, tyrosine kinase inhibitor; IVT, intravitreal Potential Solution vorolanib?(multi-MOA TKI) DURAVYU Many patients still lose vision despite available anti-VEGF biologic therapies Unmet Needs VEGF suppression is not the entire story – ?multi-target therapies may improve disease control Effective, durable disease control 1 Suppression of inflammation via IL-6 2 Durasert E?(bioerodible IVT insert) Sustained drug release for ≥6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Vorolanib Features a Multi-MOA, Potentially Addressing Both Vascular Leakage and Inflammation Data on file. Bakri SJ, et al. PLoS One. 2024;19(6):e0304782. IL-6 (R), interleukin 6 (receptor); JAK, janus kinase; MOA, mechanism of action; PDGF(R), platelet-derived growth factor (receptor); PLGF, placental growth factor; TKI, tyrosine kinase inhibitor; VEGF(R), vascular endothelial growth factor (receptor). VEGFRs and PDGFR play a prominent role in angiogenesis Vorolanib works at the receptor level to block signaling from all VEGF isoforms as well as PDGF IL-6 signaling is pro-inflammatory, and promotes vascular leakage and neovascularization Vorolanib inhibits IL-6 signaling by targeting the JAK kinases particularly JAK-1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Durasert E: A Next Generation in Sustained-Release Intravitreal Drug Delivery Vitrasert®?(ganciclovir IVT)1,a Retisert®?(fluocinolone acetonide)2 ILUVIEN®?(fluocinolone acetonide)3 YUTIQ®?(fluocinolone acetonide)4 DURAVYU?(vorolanib IVT insert; a/k/a EYP-1901) APPROVED NONERODIBLE | Durasert® INVESTIGATIONAL BIOERODIBLE | Durasert E Durasert® technology has demonstrated consistent safety in thousands of eyes across 4 FDA-approved products DURAVYU?(vorolanib IVT insert) Low payload?(up to 1030 µg/insert) Higher payload (94% drug)?(1343 µg/insert) Phase 1 DAVIO5?Phase 2 DAVIO 2 ?Phase 2 PAVIA Insert not drawn to scale, for illustrative purposes only. a Vitrasert now discontinued. 1. Wykoff CC, et al. J Vitreoretin Dis. 2024;8(5):577–86. 2. Bausch and Lomb (2025). RETISERT (fluocinolone acetonide intravitreal implant). [Available at: Prescribing Information - RETISERT]. 3. Alimera Sciences (2016). ILUVIEN® (fluocinolone acetonide intravitreal implant). [Available at: Prescribing Information – ILUVIEN]. 4. Alimera Sciences (2023). YUTIQ® (fluocinolone acetonide intravitreal implant). [Available at: Prescribing Information - YUTIQ]. 5. Patel S, et al. Ophthalmol Sci. 2024;4(5):100527. IVT, intravitreal; ClinicalTrials.gov identifiers: DAVIO NCT04747197; DAVIO 2 NCT05381948; PAVIA NCT05383209; VERONA NCT06099184; LUGANO NCT06668064; LUCIA NCT06683742. Phase 2 VERONA ?Phase 3 LUGANO/LUCIA Phase 3 COMO/CAPRI Over 3 decades of innovation in sustained-release drug delivery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Potential Best-in-Class TKI for Retinal Disease The investigational dose for phase 3 trials is 2.7mg (two inserts) administered with one injection.?a. Data from preclinical studies. Following a single DURAVYU 900 µg dose in Dutch-Belted rabbits, vorolanib reached concentrations exceeding IC50 in the choroid and retina within hours of administration. 1. Wykoff CC, et al. J Vitreoretin Dis. 2024;8(5):577–86. TKI, tyrosine kinase inhibitor; MOA, mechanism of action; VEGF, vascular endothelial growth factor; PDGF, platelet-derived growth factor; IL-6, interleukin 6; IVT, intravitreal; PEG, polyethylene glycol; PLGA, polylactic-co-glycolic acid. Therapeutic levels of vorolanib reached ?within hours1,a Consistent daily dosing with target inhibition ?for ≥6 months Full elution of vorolanib before matrix bioerosion; no free-floating drug particles No cold storage required unlike approved biologics; pre-loaded IVT syringe injector Inhibition of VEGF receptors, PDGF and ?pro-inflammatory IL-6–mediated signalinga DURAVYU vorolanib in bioerodible Durasert E Each IVT insert is: 94% drug / 6% matrix 1/5000th of vitreous volume?No PEG/PLGA Insert not drawn to scale and is enlarged for illustrative purposes.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Has Demonstrated a Consistent Favorable Safety Profile Across Multiple Clinical Trials * Based on a single dose of DURAVYU 1. EyePoint. Press release May 14, 2026: EyePoint Announces Third Consecutive Positive DSMC Recommendation for Phase 3 Wet AMD Trials for DURAVYU, Building Confidence Ahead of Mid-2026 Topline Data [Available online]. ClinicalTrials.gov identifiers: DAVIO NCT04747197; DAVIO 2 NCT05381948; PAVIA NCT05383209; VERONA NCT06099184. Data on file. AMD, age-related macular degeneration; OCT, optical coherence tomography; NPDR, non proliferative diabetic retinopathy; DME, diabetic macular edema No DURAVYU-related safety concerns in &gt;190 patients across four completed clinical trials DURAVYU Patient n Trial Indication Outcome 17 DAVIO Phase 1 Wet AMD Stable vision and OCT 74% reduction in treatment burden* 102 DAVIO 2 Phase 2 Wet AMD Statistical non-inferiority in BCVA compared to aflibercept in difficult-to-treat population ~80% reduction in treatment burden* 51 PAVIA Phase 2 NPDR Favorable safety and tolerability profile* 21 VERONA Phase 2 DME Rapid and sustained improvements in vision and anatomical control* Based on interim masked safety data across all four ongoing Phase 3 trials, the observed safety profile is consistent with previous DURAVYU clinical trials1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for Wet AMD Phase 3 program designed to transform the treatment paradigm through durable disease control and a new multi-moa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Phase 3 Trials in Wet AMD Supported by DAVIO 2 ?Results: All Primary and Secondary Endpoints Were Achieved DAVIO 2 Endpoints in Wet AMD* 2mg 3mg R Primary: Statistically significant non-inferior change in BCVA vs. aflibercept - 0.3 letters - 0.4 letters R Secondary: Change in BCVA vs. baseline +1.0 letters +0.9 letters R Secondary: Favorable safety profile No drug-related safety concerns R Secondary: Reduction in treatment burden vs. aflibercept 82% 76% R Secondary: Reduction in treatment burden vs. 6 mos. prior 89% 85% R Secondary: Supplement-free up to 6 months 63% 88% of eyes had 0 or 1 supplemental injections 63% 83% of eyes had 0 or 1 supplemental injections R Secondary: Anatomical control vs. aflibercept +12.4um +5.2um Note: 6 month timing is post-DURAVYU dosing (8 months of data) 1. NIH Current and Upcoming Anti-VEGF Therapies and Dosing Strategies for the treatment of neovascular AMD: a comparative review, Saira Khanna et al, Dec. 2019. AMD, age-related macular degeneration; BCVA, best-corrected visual acuity *DAVIO 2 population entered trial requiring more frequent annual injections (10) than the average US wet AMD patient (6)1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and LUCIA: Clinically Rigorous Pivotal Phase 3 Wet AMD Program Following Established Non-Inferiority Regulatory Path &amp; Three consecutive positive DSMC reviews with no protocol changes required Over 900 patients enrolled Topline data expected for?LUGANO in August 2026;?LUCIA in Q4 2026 Key Elements of Phase 3 Trial Design: Clinical trial identifiers: LUGANO NCT06668064; LUCIA NCT06683742. Data on file. AMD, age-related macular degeneration; TKI, tyrosine kinase inhibitor; DSMC, data safety monitoring committee; FDA, U.S. Food and Drug Administration; EMA, European Medicines Agency Informed by the Phase 1 ‘DAVIO’ and large Phase 2 ‘DAVIO 2’ trials Developed in alignment with the FDA and EMA Patient-centric design; all patients receive active treatment with goal of maintaining or improving vision Key secondary endpoints include safety and statistical superiority in reduction in treatment burden vs. on-label aflibercept Evaluating every 6-month dosing for potential unlimited redosing label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Pivotal Trial Design Follows Established Non-Inferior Regulatory Pathway DURAVYU dosing consists of 2 inserts delivered in a single injection. AMD, age-related macular degeneration; BCVA, best-corrected visual acuity; D, day; W, week; EOS, end-of-study; q6M, every 6 months; q8W, every 8 weeks; R, randomization D1 W4 W8 W12 W16 W20 W24 W28 W32 W36 W40 W44 W48 W52 W56 W60 to W76 W80 W84 to W92 W96 EOS Primary endpoint Blend W52 &amp; W56 DURAVYU 2.7 mg Aflibercept 2 mg q8W DURAVYU dosing DURAVYU dosing DURAVYU dosing ~400 patients per trial R 1:1 Supplemental aflibercept per prespecified criteria (all arms) Scheduled?aflibercept Scheduled?visit Sham injection?for masking Continued sham or?aflibercept q8W DURAVYU dosing?+ aflibercept Aflibercept + sham injection for masking DURAVYU?dosing Primary endpoint Non-inferior (NI) mean change in BCVA from Day 1 to W52 and W56 (blended) vs aflibercept control ?(NI margin of -4.5 letters) Secondary endpoints Safety Reduction in treatment burden (superiority vs on-label aflibercept) Percent of eyes supplement-free Anatomical stability &amp; Pivotal Phase 3 Trials of Repeat-Dose DURAVYU vs On-Label Aflibercept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Refinements from Phase 2 Trial Drives Confidence in Phase 3 Wet AMD Program DAVIO 2 LUGANO / LUCIA Patient Population 100% previously treated 75% treatment naïve, 25% previously treated Supplement Criteria 5 separate and independent criteria, including Investigator discretion 2 supplement ?criteria* Dosing Single dose Every 6 months redosing Potential for broader label Treatment naïve population includes easier to treat patients, which may lead to fewer supplemental injections Protect BCVA non-inferiority endpoint Supplements focused on addressing disease activity 8% reduction in treatment burden ?required to achieve statistical superiority of secondary endpoint Two doses before primary endpoint Potential unlimited redosing label *Phase 3 supplement criteria as defined by protocol include (i) &gt;5 letters loss in vision and ≥75 microns of new fluid and/or (ii) new hemorrhage due to wet AMD AMD, age-related macular degeneration; BCVA, best-corrected visual acuity LUGANO / LUCIA studies are sized for 90% powering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in Wet AMD: Retrospective Subgroup Analysis of DAVIO 2 Patients Reflects Supportive Outcomes in BCVA and OCT This retrospective and unplanned subgroup analysis is not predictive of the outcome of the Phase 3 program. DURAVYU is not approved in any country and its safety and efficacy have not been established. Data on file. Data includes patients in DAVIO 2 with baseline BCVA of 35-78 letters. BCVA, best-corrected visual acuity; CST, central subfield thickness; ETDRS, Early Treatment of Diabetic Retinopathy Study +1.4 +2.8 +8.9 um +0.8 um BCVA Change from Baseline, DAVIO 2 Patients Eligible for Phase 3 CST Change from Baseline, DAVIO 2 Patients Eligible for Phase 3 +1.7 +18.0 um DAVIO 2 Total ?Pt. Population DAVIO 2 Total ?Pt. Population 2mg: +17.8 um 3mg: +10.6 um 2mg: +1.0 3mg: +0.9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for DME Phase 3 program underway in second largest retinal disease market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COMO and CAPRI: Phase 3 DME Program Designed to Enable Potential Global Regulatory and Commercial Success First patients dosed in both trials in February 2026 Full enrollment in July 2026 Topline data expected in 4Q 2027 Key Elements of Phase 3 Trial Design: Informed by positive Phase 2 VERONA trial Aligned with the FDA and EMA on the pivotal program; established non-inferiority regulatory path Leverages existing clinical trial infrastructure from LUGANO/LUCIA High physician enthusiasm with participation from all ~90 sites invited from wet AMD Program With 240 patients each, trials leverage wet AMD program safety outcomes, enabling efficient execution &amp; AMD, age-related macular degeneration; DME, diabetic macular edema; FPI, first patient 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Pivotal Trials in DME: Designed to Evaluate Non-Inferiority of DURAVYU vs On-Label Aflibercept Control D1 W4 W8 W12 W161 W20 W24 W28 W32 W36 W40 W44 W48 W52 W56 W60 to W68 W72 W76 to W84 W88 EOS Primary endpoint Blend W52 &amp; W56 DURAVYU 2.7 mg Aflibercept 2 mg q8W DURAVYU dosing DURAVYU dosing DURAVYU dosing ~240 patients per trial R 1:1 Supplemental anti-VEGF per prespecified criteria (all arms)1 Scheduled?aflibercept Scheduled?visit Sham injection?for masking Continued sham or?aflibercept q8W DURAVYU dosing?+ aflibercept Aflibercept + sham injection for masking DURAVYU?dosing Primary endpoint Difference in mean change in BCVA from Day 1 to W52 and W56 (blended) vs aflibercept control Secondary endpoints Safety Reduction in treatment burden (superiority vs on-label aflibercept) Percent of eyes supplement-free Anatomical stability DURAVYU dosing consists of 2 inserts delivered in a single injection. 1. Criteria for supplemental injection assessed starting after Week 16 and at every subsequent visit.?D, day; W, week. EOS, end of study; q8W, every 8 weeks; R, randomization; DME, diabetic macular edema; BCVA, best-corrected visual acuity &amp;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 VERONA: Single DURAVYU 2.7mg Treatment Demonstrated Meaningful Vision and Anatomical Improvement as Early as Week 4 BCVA, best-corrected visual acuity; CST, central subfield thickness; ETDRS, Early Treatment Diabetic Retinopathy Study;. VERONA Clinicaltrials.gov Identifier: NCT06099184. Data on file. Mean Change in BCVA vs Aflibercept +7.1 +7.3 −75.9 um −43.7 um Mean Change in CST vs Aflibercept DURAVYU 2.7mg -32.2 µm Single dose on Day 1 BCVA Change from Baseline CST Change from Baseline DURAVYU 2.7mg -0.2 letters +10.1* DURAVYU 2.7mg +2.8 letters* *Data excludes one outlier patient. Outlier patient was removed from analysis because the patient missed multiple visits including the Week 20 visit resulting in vision loss of &gt;20 letters at the Week 24 visit. Change in ETRDS letters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2.7mg in Supplement-Free Eyes Achieved Similar BCVA as Anti-VEGF + Anti-IL-6 Dosed Monthly* BCVA: VERONA DME results superimposed on BARDENAS Phase 2 Trial of anti-IL6 (vamikibart) * Cross-trial comparisons are presented for informational purposes only. These studies were conducted independently and were not designed for direct comparison. Differences in study design, patient populations, baseline characteristics, treatment history, endpoints, assessment methods, and follow-up duration may affect outcomes. No conclusions regarding comparative efficacy or safety should be drawn from these analyses. ??BARDENAS Phase 2 clinical trial results adapted from Roche’s Pharma Day presentation, September 22, 2025 [Available Online]. Data depicted represent adjusted mean change from baseline in BCVA with 95% confidence intervals. Data points are slightly offset to distinguish error bars. Primary endpoint at Week 44/48, averaged. In VERONA, supplement-free is defined as patients who did not receive a supplement at any point during the study. VERONA Clinicaltrials.gov Identifier: NCT06099184. Data on file.?BCVA, best-corrected visual acuity; ETDRS, Early Treatment Diabetic Retinopathy Study; Q4W, every 4 weeks; VA, visual acuity; Wk, week. Vamikibart 1.0 mg + ranibizumab 0.5 mg Q4W DURAVYU 2.7 mg, single dose (n=7/11) Ranibizumab 0.5 mg Q4W BARDENAS VERONA (Supplemental-free subgroup) VERONA Study End Comparable VA with: Two Injections DURAVYU 2.7 mg single dose? + aflibercept 2 mg single dose?in VERONA Twelve Injections Vamikibart 1.0 mg Q4W?+ ranibizumab 0.5 mg Q4W in BARDENAS BARDENAS: Q4W dosing VERONA Single DURAVYU dose + aflibercept 2 mg on Day 1 BCVA mean change from baseline, ETDRS letters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Dose-Dependent Reduction in Macular Leakage Area with a Single DURAVYU Injection in DME Illustrative patient case; not representative of all observed cases or predicative of treatment outcomes 1. Change from baseline in vascular leakage (mm2) in the macula and in the total retinal area. Full analysis set. DME, diabetic macular edema.?VERONA Clinicaltrials.gov Identifier: NCT06099184. Data on file. Vascular Leakage Area Change from Baseline to Week 241 Case: DURAVYU 2.7 mg Treatment Mean change from baseline to ?Week 24, mm2 DURAVYU 1.3 mg n = 10 Baseline Week 24 Marked reduction in leakage area at Week 24 after a single DURAVYU 2.7 mg dose and no supplementation DURAVYU 2.7 mg n = 11 Aflibercept 2.0 mg n = 6 Macular leakage is a biomarker of vascular instability in DME -2.02 mm2 -3.14mm2 -0.66 mm2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Continued Drying at Week 24 with Improved BCVA After a Single DURAVYU 2.7mg Dose and No Supplementation Illustrative patient case; not representative of all observed cases or predicative of treatment outcomes. BCVA, best-corrected visual acuity; CST, central subfield thickness; D, day; VA, visual acuity; VEGF, vascular endothelial growth factor.?VERONA Clinicaltrials.gov Identifier: NCT06099184. Data on file. Week 4 BCVA: 74 letters CST: 360 µm Week 16 BCVA: 80 letters CST: 316 µm Week 24 BCVA: 80 letters CST: 334 µm Anti-VEGF Injections Before and After Treatment Aflibercept + DURAVYU 2.7 mg Months Washout Day 1 2 1 4 5 6 3 -1 -3 -2 -5 -4 -7 -6 -8 -10 -9 -12 -11 Bevacizumab No injection Supplemental injection Faricimab Last Visit Aflibercept + DURAVYU Patient presented with fluid at Screening and Day 1 Fluid dried after a single dose of DURAVYU Vision improved by +8 letters Screening (D−14) BCVA: 72 letters CST: 336 µm DURAVYU Scheduled aflibercept Supplemental aflibercept BCVA: 73 letters CST: 437 µm Day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Commercial Manufacturing Facility Built to Support DURAVYU Through Potential NDA Approval and U.S. Commercial Launch NDA, New Drug Application; FDA, Food and Drug Administration; EMA, European Medicines Agency USA based in Northbridge, MA Built to US FDA and EU EMA standards DURAVYU registration batches completed to support anticipated NDA filing Built to EyePoint specifications by landlord preserving upfront cash investment 41,000sf dedicated facility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Potential to be the First To Market and Best in Class TKI in Largest Retinal Disease Markets Vorolanib, a multi-MOA TKI with potential every 6-month dosing Extensive Phase 1 and 2 efficacy data in wet AMD and DME Favorable safety and tolerability with no drug-related safety concerns across four clinical trials LUGANO topline data in wet AMD expected in August 2026 and LUCIA in Q4 2026 Phase 3 DME program enrollment complete with topline data in Q4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Investor Presentation August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6730</Words>
  <Characters>39086</Characters>
  <CharactersWithSpaces>45884</CharactersWithSpaces>
  <Paragraphs>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