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EyePoint,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000-51122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26-2774444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480 Pleasant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926-5000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EYPT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May 6, 2026, EyePoint, Inc. (the “Company”) issued a press release announcing its financial results for the quarter ended March 31, 2026 and certain other information. A copy of the press release is furnished as Exhibit 99.1 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368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Press Release of EyePoint, Inc., dated May 6, 2026</w:t>
            </w:r>
          </w:p>
        </w:tc>
        <w:tc>
          <w:tcPr>
            <w:tcW w:w="20" w:type="dxa"/>
            <w:vAlign w:val="bottom"/>
            <w:tcBorders>
              <w:bottom w:val="single" w:sz="8" w:color="0000EE"/>
            </w:tcBorders>
          </w:tcPr>
          <w:p>
            <w:pPr>
              <w:spacing w:after="0"/>
              <w:rPr>
                <w:sz w:val="13"/>
                <w:szCs w:val="13"/>
                <w:color w:val="auto"/>
              </w:rPr>
            </w:pPr>
          </w:p>
        </w:tc>
        <w:tc>
          <w:tcPr>
            <w:tcW w:w="62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tab/>
        <w:t>/s/ George O. Elston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George O. Elston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EyePoint Reports First Quarter 2026 Financial Results and Highlights Recent Corporate Developments</w:t>
      </w:r>
    </w:p>
    <w:p>
      <w:pPr>
        <w:spacing w:after="0" w:line="148" w:lineRule="exact"/>
        <w:rPr>
          <w:sz w:val="20"/>
          <w:szCs w:val="20"/>
          <w:color w:val="auto"/>
        </w:rPr>
      </w:pPr>
    </w:p>
    <w:p>
      <w:pPr>
        <w:ind w:left="1100"/>
        <w:spacing w:after="0"/>
        <w:tabs>
          <w:tab w:leader="none" w:pos="14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i w:val="1"/>
          <w:iCs w:val="1"/>
          <w:color w:val="auto"/>
        </w:rPr>
        <w:t>Phase 3 wet AMD trials, LUGANO and LUCIA, remain on track with topline data expected beginning mid-2026 –</w:t>
      </w:r>
    </w:p>
    <w:p>
      <w:pPr>
        <w:spacing w:after="0" w:line="135" w:lineRule="exact"/>
        <w:rPr>
          <w:sz w:val="20"/>
          <w:szCs w:val="20"/>
          <w:color w:val="auto"/>
        </w:rPr>
      </w:pPr>
    </w:p>
    <w:p>
      <w:pPr>
        <w:jc w:val="center"/>
        <w:ind w:left="5100" w:right="20" w:hanging="4726"/>
        <w:spacing w:after="0" w:line="273"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Phase 3 DME clinical trials, COMO and CAPRI, rapidly advancing with over one-third of patients enrolled; enrollment completion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expected in Q3 2026 –</w:t>
      </w:r>
    </w:p>
    <w:p>
      <w:pPr>
        <w:spacing w:after="0" w:line="8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$223 million of cash and investments as of March 31, 2026, with runway into Q4 2027 –</w:t>
      </w:r>
    </w:p>
    <w:p>
      <w:pPr>
        <w:spacing w:after="0" w:line="200" w:lineRule="exact"/>
        <w:rPr>
          <w:sz w:val="20"/>
          <w:szCs w:val="20"/>
          <w:color w:val="auto"/>
        </w:rPr>
      </w:pPr>
    </w:p>
    <w:p>
      <w:pPr>
        <w:spacing w:after="0" w:line="317"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WATERTOWN, Mass., May 6, 2026 (GLOBE NEWSWIRE) – EyePoint, Inc. (Nasdaq: EYPT), a company committed to developing and commercializing innovative therapeutics to improve the lives of patients with serious retinal diseases, today announced financial results for the first quarter ended March 31, 2026, and highlighted recent corporate developments.</w:t>
      </w:r>
    </w:p>
    <w:p>
      <w:pPr>
        <w:spacing w:after="0" w:line="10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are entering an important time for EyePoint and the retina community with Phase 3 topline data for DURAVYU in wet AMD expected beginning mid-year with LUGANO topline data and the identical LUCIA trial data readout to follow.” said Jay S. Duker, M.D., President and Chief Executive Officer of EyePoint. “In parallel, enrollment in our Phase 3 DME program is meeting our ambitious timelines with full enrollment expected in the third quarter of 2026, positioning DURAVYU for pivotal readouts in the two largest multi-billion-dollar retina markets.”</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Dr. Duker continued, “DURAVYU is well positioned to potentially bring a new multi-mechanism of action sustained delivery treatment option to patients and physicians in these important retinal disease markets. DURAVYU’s robust clinical profile to date, combined with our de-risked and patient-centric approach, drives our conviction for its best- and first-in-class potential.”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R&amp;D Highlights and Updates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DURAVYU (vorolanib intravitreal insert) in Wet Age-Related Macular Degeneration (Wet AMD)</w:t>
      </w:r>
    </w:p>
    <w:p>
      <w:pPr>
        <w:spacing w:after="0" w:line="15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wet AMD trials on track for data readouts beginning mid-year with LUGANO data and LUCIA data to shortly follow.</w:t>
      </w:r>
    </w:p>
    <w:p>
      <w:pPr>
        <w:spacing w:after="0" w:line="21" w:lineRule="exact"/>
        <w:rPr>
          <w:rFonts w:ascii="Times New Roman" w:cs="Times New Roman" w:eastAsia="Times New Roman" w:hAnsi="Times New Roman"/>
          <w:sz w:val="20"/>
          <w:szCs w:val="20"/>
          <w:color w:val="auto"/>
        </w:rPr>
      </w:pPr>
    </w:p>
    <w:p>
      <w:pPr>
        <w:ind w:left="380" w:right="180" w:hanging="372"/>
        <w:spacing w:after="0" w:line="239"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identical non-inferiority trials versus an on-label aflibercept control enrolled over 900 patients, include every six-month re-dosing, and follow a clear and recognized regulatory approval pathway.</w:t>
      </w:r>
    </w:p>
    <w:p>
      <w:pPr>
        <w:ind w:left="380" w:right="200" w:hanging="372"/>
        <w:spacing w:after="0" w:line="239"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active patients in the treatment arm have reached the Week 32 visit, during which patients received their second DURAVYU dose. Over 35% of those patients have also received their third planned dose at Week 56.</w:t>
      </w:r>
    </w:p>
    <w:p>
      <w:pPr>
        <w:ind w:left="380" w:right="180" w:hanging="372"/>
        <w:spacing w:after="0" w:line="239"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Interim masked Phase 3 safety data remain consistent with the favorable safety observed in the four previously completed DURAVYU clinical trials with no safety signals.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DURAVYU (vorolanib intravitreal insert) in Diabetic Macular Edema (DME)</w:t>
      </w:r>
    </w:p>
    <w:p>
      <w:pPr>
        <w:spacing w:after="0" w:line="113" w:lineRule="exact"/>
        <w:rPr>
          <w:sz w:val="20"/>
          <w:szCs w:val="20"/>
          <w:color w:val="auto"/>
        </w:rPr>
      </w:pPr>
    </w:p>
    <w:p>
      <w:pPr>
        <w:ind w:left="380" w:right="540" w:hanging="372"/>
        <w:spacing w:after="0" w:line="250" w:lineRule="auto"/>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Pivotal Phase 3 COMO and CAPRI trials are underway, with over one-third of patients enrolled and activation of ex-US sites now initiated.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enrollment is expected in the third quarter of 2026, with topline data anticipated in the fourth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20" w:lineRule="exact"/>
        <w:rPr>
          <w:sz w:val="20"/>
          <w:szCs w:val="20"/>
          <w:color w:val="auto"/>
        </w:rPr>
      </w:pPr>
    </w:p>
    <w:p>
      <w:pPr>
        <w:ind w:left="380" w:right="40" w:hanging="372"/>
        <w:spacing w:after="0" w:line="250" w:lineRule="auto"/>
        <w:tabs>
          <w:tab w:leader="none" w:pos="3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identical non-inferiority trials versus an on-label aflibercept control are expected to enroll approximately 480 patients, include every six-month re-dosing, and follow a clear and recognized regulatory approval pathway.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DURAVYU Highlights</w:t>
      </w:r>
    </w:p>
    <w:p>
      <w:pPr>
        <w:spacing w:after="0" w:line="126" w:lineRule="exact"/>
        <w:rPr>
          <w:sz w:val="20"/>
          <w:szCs w:val="20"/>
          <w:color w:val="auto"/>
        </w:rPr>
      </w:pPr>
    </w:p>
    <w:p>
      <w:pPr>
        <w:ind w:left="380" w:right="60" w:hanging="372"/>
        <w:spacing w:after="0" w:line="250"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new preclinical data at the Association for Research in Vision and Ophthalmology (ARVO) 2026 Annual Meeting that further demonstrates inhibition of pro-inflammatory IL-6 signaling by vorolanib, the active drug in DURAVYU.</w:t>
      </w:r>
    </w:p>
    <w:p>
      <w:pPr>
        <w:spacing w:after="0" w:line="1" w:lineRule="exact"/>
        <w:rPr>
          <w:rFonts w:ascii="Times New Roman" w:cs="Times New Roman" w:eastAsia="Times New Roman" w:hAnsi="Times New Roman"/>
          <w:sz w:val="20"/>
          <w:szCs w:val="20"/>
          <w:color w:val="auto"/>
        </w:rPr>
      </w:pPr>
    </w:p>
    <w:p>
      <w:pPr>
        <w:ind w:left="1140" w:right="6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Vorolanib was identified as a potent inhibitor of JAK1, a critical transducer of IL-6 signaling, through extensive in vitro and in vivo studies.</w:t>
      </w:r>
    </w:p>
    <w:p>
      <w:pPr>
        <w:ind w:left="1140" w:right="6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These data further highlight DURAVYU's multi-mechanism of action and its potential to bring a synergistic anti-inflammatory effect to the established VEGFR and PDGF inhibition for treatment of wet AMD and DME.</w:t>
      </w:r>
    </w:p>
    <w:p>
      <w:pPr>
        <w:ind w:left="380" w:right="40" w:hanging="372"/>
        <w:spacing w:after="0" w:line="239" w:lineRule="auto"/>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data at ARVO 2026 highlighting positive efficacy and safety outcomes from the Phase 2 clinical trials evaluating DURAVYU in wet AMD (DAVIO 2) and DME (VERONA).</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In both trials, a single dose of DURAVYU demonstrated durable efficacy, with improved vision and strong anatomical control.</w:t>
      </w:r>
    </w:p>
    <w:p>
      <w:pPr>
        <w:ind w:left="1140" w:hanging="383"/>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the data supports a favorable safety profile with no safety signals or DURAVYU-related ocular or systemic SAEs.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Review of Results for the First Quarter Ended March 31, 2026</w:t>
      </w:r>
    </w:p>
    <w:p>
      <w:pPr>
        <w:spacing w:after="0" w:line="11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20"/>
          <w:szCs w:val="20"/>
          <w:color w:val="auto"/>
        </w:rPr>
        <w:t>For the first quarter ended March 31, 2026, total net revenue was $0.7 million compared to $24.5 million for the corresponding period in 2025. The decrease was primarily driven by the recognition of remaining deferred revenue related to the Company’s 2023 agreement for the license of YUTIQ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product rights.</w:t>
      </w:r>
    </w:p>
    <w:p>
      <w:pPr>
        <w:spacing w:after="0" w:line="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Operating expenses for the first quarter ended March 31, 2026, totaled $87.9 million versus $73.3 million in the prior year period. This increase was primarily attributable to ongoing DURAVYU Phase 3 clinical trials for wet AMD and DME and scale-up of our commercial manufacturing facility.</w:t>
      </w:r>
    </w:p>
    <w:p>
      <w:pPr>
        <w:spacing w:after="0" w:line="10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Net non-operating income totaled $2.3 million and net loss was $84.8 million, or ($0.99) per share, compared to a net loss of $45.2 million, or ($0.65) per share, for the corresponding period in 2025.</w:t>
      </w:r>
    </w:p>
    <w:p>
      <w:pPr>
        <w:spacing w:after="0" w:line="7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Cash, cash equivalents, and marketable securities as of March 31, 2026, totaled $223 million compared to $306 million as of December 31,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Outlook</w:t>
      </w:r>
    </w:p>
    <w:p>
      <w:pPr>
        <w:spacing w:after="0" w:line="152"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We expect the cash, cash equivalents, and marketable securities as of March 31, 2026, will enable us to fund operations into the fourth quarter of 2027 beyond key milestones for the Phase 3 wet AMD program in 2026.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5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EyePoint will host a conference call today at 8:30 a.m. ET to discuss the results for the first quarter ended March 31, 2026, and recent corporate developments. To access the live conference call, please register at https://edge.media-server.com/mmc/p/hjmg6gw2. A live audio webcast of the event can be accessed via the Investors section of the Company website at www.eyepoint.bio. A webcast replay will also be available on the corporate website at the conclusion of the call.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EyePoint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00" w:lineRule="exact"/>
        <w:rPr>
          <w:sz w:val="20"/>
          <w:szCs w:val="20"/>
          <w:color w:val="auto"/>
        </w:rPr>
      </w:pPr>
    </w:p>
    <w:p>
      <w:pPr>
        <w:spacing w:after="0" w:line="236"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9"/>
          <w:szCs w:val="19"/>
          <w:color w:val="auto"/>
        </w:rPr>
        <w:t>EyePoint, Inc. (Nasdaq: EYPT) is a clinical-stage biopharmaceutical company committed to developing and commercializing innovative therapeutics to improve the lives of patients with serious retinal diseases. The Company’s lead product candidate, DURAVYU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is an innovative investigational sustained delivery treatment for serious retinal diseases combining vorolanib, a selective and patent-protected tyrosine kinase inhibitor, in next-generation bioerodible Durasert 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technology. Supported by robust safety and efficacy data across multiple clinical trials and indications, DURAVYU is currently being evaluated in Phase 3 pivotal trials for wet age-related macular degeneration (wet AMD) and diabetic macular edema (DME). Topline data is expected for wet AMD beginning in mid-2026.</w:t>
      </w:r>
    </w:p>
    <w:p>
      <w:pPr>
        <w:spacing w:after="0" w:line="122"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Company is committed to partnering with the retina community to improve patient lives while creating long-term value, with four approved drugs over three decades and tens of thousands of eyes treated with EyePoint innovation.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EyePoint is headquartered in Watertown, Massachusetts, with a commercial manufacturing facility in Northbridge, Massachusetts.</w:t>
      </w:r>
    </w:p>
    <w:p>
      <w:pPr>
        <w:spacing w:after="0" w:line="148"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Vorolanib is licensed to EyePoint exclusively by Equinox Sciences, a Betta Pharmaceuticals affiliate, for the localized treatment of all ophthalmic diseases outside of China, Macao, Hong Kong and Taiwan.</w:t>
      </w:r>
    </w:p>
    <w:p>
      <w:pPr>
        <w:spacing w:after="0" w:line="10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0"/>
          <w:szCs w:val="20"/>
          <w:i w:val="1"/>
          <w:iCs w:val="1"/>
          <w:color w:val="auto"/>
        </w:rPr>
        <w:t>DURAVYU</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xml:space="preserve"> has been conditionally accepted by the FDA as the proprietary name for EYP-1901. DURAVYU is an investigational product; it has not been approved by the FDA. FDA approval and the timeline for potential approval is uncertain.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belief that DURAVYU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is well-positioned to be the first-to-market among all investigational sustained release treatments for the two largest retinal disease markets, wet AMD and DME; our belief that DURAVYU is the only TKI in development for DME; our belief that DURAVYU is uniquely positioned to potentially address both VEGF-mediated vascular leakage and IL-6 mediated inflammatory drivers of DME as a sustained delivery therapy; our belief that DURAVYU’s potential real-world application in multiple retinal disease indications and established trial designs position DURAVYU for clinical and commercial success; our expectations regarding the timing of the availability and release of wet AMD and DME clinical data; our financial position and expected cash runway; our belief that DURAVYU has the potential to maintain a majority of patients with active disease with no supplemental anti-VEGF therapy for six months or longer; our beliefs regarding the potential market opportunity for DURAVYU in wet AMD and DME; our ability to continue to scale operations at our commercial manufacturing facility in Northbridge, Massachusetts; our expectations that our manufacturing facility will continue to meet FDA and EMA standards and support commercialization efforts of DURAVYU upon regulatory approval; and our expectations regarding the timing and clinical development of our other product candidates;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6" w:name="page7"/>
    <w:bookmarkEnd w:id="6"/>
    <w:p>
      <w:pPr>
        <w:ind w:left="102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our ability to enter into a settlement agreement and corporate integrity agreement with the government regarding the DOJ investigation and uncertainties related to the impact such agreements would have on our business, financial condition and operations;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www.sec.gov. Our forward-looking statements speak only as of the dates on which they are made. EyePoint undertakes no obligation to update or revise any forward-looking statement, whether as a result of new information, future events, or otherwise.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Tanner Kaufman / Jenni Lu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FTI Consulting</w:t>
      </w:r>
    </w:p>
    <w:p>
      <w:pPr>
        <w:spacing w:after="0"/>
        <w:rPr>
          <w:sz w:val="20"/>
          <w:szCs w:val="20"/>
          <w:color w:val="auto"/>
        </w:rPr>
      </w:pPr>
      <w:r>
        <w:rPr>
          <w:rFonts w:ascii="Times New Roman" w:cs="Times New Roman" w:eastAsia="Times New Roman" w:hAnsi="Times New Roman"/>
          <w:sz w:val="20"/>
          <w:szCs w:val="20"/>
          <w:color w:val="auto"/>
        </w:rPr>
        <w:t>Direct: 203-722-8743 / 667-321-6018</w:t>
      </w:r>
    </w:p>
    <w:p>
      <w:pPr>
        <w:spacing w:after="0"/>
        <w:rPr>
          <w:sz w:val="20"/>
          <w:szCs w:val="20"/>
          <w:color w:val="auto"/>
        </w:rPr>
      </w:pPr>
      <w:r>
        <w:rPr>
          <w:rFonts w:ascii="Times New Roman" w:cs="Times New Roman" w:eastAsia="Times New Roman" w:hAnsi="Times New Roman"/>
          <w:sz w:val="20"/>
          <w:szCs w:val="20"/>
          <w:color w:val="auto"/>
        </w:rPr>
        <w:t>tanner.kaufman@fticonsulting.com / jenni.lu@fticonsulting.com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 Room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 850-384-2833</w:t>
      </w:r>
    </w:p>
    <w:p>
      <w:pPr>
        <w:spacing w:after="0"/>
        <w:rPr>
          <w:sz w:val="20"/>
          <w:szCs w:val="20"/>
          <w:color w:val="auto"/>
        </w:rPr>
      </w:pPr>
      <w:r>
        <w:rPr>
          <w:rFonts w:ascii="Times New Roman" w:cs="Times New Roman" w:eastAsia="Times New Roman" w:hAnsi="Times New Roman"/>
          <w:sz w:val="20"/>
          <w:szCs w:val="20"/>
          <w:color w:val="auto"/>
        </w:rPr>
        <w:t>EyePointMedia@grcomms.com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8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current assets</w:t>
            </w: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249,504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328,655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8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current liabilities</w:t>
            </w: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37,460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(1,189,810)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(1,104,978)</w:t>
            </w:r>
          </w:p>
        </w:tc>
        <w:tc>
          <w:tcPr>
            <w:tcW w:w="0" w:type="dxa"/>
            <w:vAlign w:val="bottom"/>
          </w:tcPr>
          <w:p>
            <w:pPr>
              <w:spacing w:after="0"/>
              <w:rPr>
                <w:sz w:val="1"/>
                <w:szCs w:val="1"/>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2"/>
        </w:trPr>
        <w:tc>
          <w:tcPr>
            <w:tcW w:w="54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5102860</wp:posOffset>
            </wp:positionH>
            <wp:positionV relativeFrom="page">
              <wp:posOffset>500380</wp:posOffset>
            </wp:positionV>
            <wp:extent cx="1963420" cy="402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963420" cy="402590"/>
                    </a:xfrm>
                    <a:prstGeom prst="rect">
                      <a:avLst/>
                    </a:prstGeom>
                    <a:noFill/>
                  </pic:spPr>
                </pic:pic>
              </a:graphicData>
            </a:graphic>
          </wp:anchor>
        </w:drawing>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6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and collaboration agreements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income</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c>
          <w:tcPr>
            <w:tcW w:w="6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85,999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69,767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8"/>
        </w:trPr>
        <w:tc>
          <w:tcPr>
            <w:tcW w:w="7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2026-05-06T06:08:48Z</dcterms:created>
  <dcterms:modified xsi:type="dcterms:W3CDTF">2026-05-06T06:08:48Z</dcterms:modified>
</cp:coreProperties>
</file>