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11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-183515</wp:posOffset>
            </wp:positionV>
            <wp:extent cx="2108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80" w:lineRule="exact"/>
        <w:rPr>
          <w:sz w:val="24"/>
          <w:szCs w:val="24"/>
          <w:color w:val="auto"/>
        </w:rPr>
      </w:pPr>
    </w:p>
    <w:p>
      <w:pPr>
        <w:ind w:left="4060" w:right="940" w:hanging="3158"/>
        <w:spacing w:after="0" w:line="391" w:lineRule="auto"/>
        <w:tabs>
          <w:tab w:leader="none" w:pos="11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333" w:lineRule="exact"/>
        <w:rPr>
          <w:rFonts w:ascii="MS PGothic" w:cs="MS PGothic" w:eastAsia="MS PGothic" w:hAnsi="MS PGothic"/>
          <w:sz w:val="18"/>
          <w:szCs w:val="18"/>
          <w:color w:val="auto"/>
          <w:highlight w:val="black"/>
        </w:rPr>
      </w:pPr>
    </w:p>
    <w:p>
      <w:pPr>
        <w:ind w:left="1140" w:hanging="203"/>
        <w:spacing w:after="0"/>
        <w:tabs>
          <w:tab w:leader="none" w:pos="114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-913765</wp:posOffset>
            </wp:positionV>
            <wp:extent cx="2108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3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tc>
        <w:tc>
          <w:tcPr>
            <w:tcW w:w="0" w:type="dxa"/>
            <w:vAlign w:val="bottom"/>
          </w:tcPr>
          <w:p>
            <w:pPr>
              <w:spacing w:after="0"/>
              <w:rPr>
                <w:sz w:val="1"/>
                <w:szCs w:val="1"/>
                <w:color w:val="auto"/>
              </w:rPr>
            </w:pPr>
          </w:p>
        </w:tc>
      </w:tr>
      <w:tr>
        <w:trPr>
          <w:trHeight w:val="314"/>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000-51122</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7"/>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gridSpan w:val="2"/>
          </w:tcPr>
          <w:p>
            <w:pPr>
              <w:jc w:val="center"/>
              <w:ind w:right="540"/>
              <w:spacing w:after="0"/>
              <w:rPr>
                <w:sz w:val="20"/>
                <w:szCs w:val="20"/>
                <w:color w:val="auto"/>
              </w:rPr>
            </w:pPr>
            <w:r>
              <w:rPr>
                <w:rFonts w:ascii="Times New Roman" w:cs="Times New Roman" w:eastAsia="Times New Roman" w:hAnsi="Times New Roman"/>
                <w:sz w:val="36"/>
                <w:szCs w:val="36"/>
                <w:b w:val="1"/>
                <w:bCs w:val="1"/>
                <w:color w:val="auto"/>
                <w:w w:val="99"/>
              </w:rPr>
              <w:t>EyePoint, Inc.</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3900" w:type="dxa"/>
            <w:vAlign w:val="bottom"/>
          </w:tcPr>
          <w:p>
            <w:pPr>
              <w:jc w:val="center"/>
              <w:ind w:left="15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jc w:val="right"/>
              <w:ind w:right="2235"/>
              <w:spacing w:after="0"/>
              <w:rPr>
                <w:sz w:val="20"/>
                <w:szCs w:val="20"/>
                <w:color w:val="auto"/>
              </w:rPr>
            </w:pPr>
            <w:r>
              <w:rPr>
                <w:rFonts w:ascii="Times New Roman" w:cs="Times New Roman" w:eastAsia="Times New Roman" w:hAnsi="Times New Roman"/>
                <w:sz w:val="18"/>
                <w:szCs w:val="18"/>
                <w:b w:val="1"/>
                <w:bCs w:val="1"/>
                <w:color w:val="auto"/>
              </w:rPr>
              <w:t>26-2774444</w:t>
            </w:r>
          </w:p>
        </w:tc>
        <w:tc>
          <w:tcPr>
            <w:tcW w:w="0" w:type="dxa"/>
            <w:vAlign w:val="bottom"/>
          </w:tcPr>
          <w:p>
            <w:pPr>
              <w:spacing w:after="0"/>
              <w:rPr>
                <w:sz w:val="1"/>
                <w:szCs w:val="1"/>
                <w:color w:val="auto"/>
              </w:rPr>
            </w:pPr>
          </w:p>
        </w:tc>
      </w:tr>
      <w:tr>
        <w:trPr>
          <w:trHeight w:val="216"/>
        </w:trPr>
        <w:tc>
          <w:tcPr>
            <w:tcW w:w="3900" w:type="dxa"/>
            <w:vAlign w:val="bottom"/>
          </w:tcPr>
          <w:p>
            <w:pPr>
              <w:jc w:val="center"/>
              <w:ind w:left="1535"/>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tcPr>
          <w:p>
            <w:pPr>
              <w:jc w:val="center"/>
              <w:ind w:right="1455"/>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900" w:type="dxa"/>
            <w:vAlign w:val="bottom"/>
          </w:tcPr>
          <w:p>
            <w:pPr>
              <w:jc w:val="center"/>
              <w:ind w:left="1535"/>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60" w:type="dxa"/>
            <w:vAlign w:val="bottom"/>
          </w:tcPr>
          <w:p>
            <w:pPr>
              <w:jc w:val="center"/>
              <w:ind w:right="1455"/>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15"/>
        </w:trPr>
        <w:tc>
          <w:tcPr>
            <w:tcW w:w="3900" w:type="dxa"/>
            <w:vAlign w:val="bottom"/>
          </w:tcPr>
          <w:p>
            <w:pPr>
              <w:jc w:val="center"/>
              <w:ind w:left="1535"/>
              <w:spacing w:after="0"/>
              <w:rPr>
                <w:sz w:val="20"/>
                <w:szCs w:val="20"/>
                <w:color w:val="auto"/>
              </w:rPr>
            </w:pPr>
            <w:r>
              <w:rPr>
                <w:rFonts w:ascii="Times New Roman" w:cs="Times New Roman" w:eastAsia="Times New Roman" w:hAnsi="Times New Roman"/>
                <w:sz w:val="18"/>
                <w:szCs w:val="18"/>
                <w:b w:val="1"/>
                <w:bCs w:val="1"/>
                <w:color w:val="auto"/>
              </w:rPr>
              <w:t>480 Pleasant Street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jc w:val="right"/>
              <w:ind w:right="2435"/>
              <w:spacing w:after="0"/>
              <w:rPr>
                <w:sz w:val="20"/>
                <w:szCs w:val="20"/>
                <w:color w:val="auto"/>
              </w:rPr>
            </w:pPr>
            <w:r>
              <w:rPr>
                <w:rFonts w:ascii="Times New Roman" w:cs="Times New Roman" w:eastAsia="Times New Roman" w:hAnsi="Times New Roman"/>
                <w:sz w:val="18"/>
                <w:szCs w:val="18"/>
                <w:b w:val="1"/>
                <w:bCs w:val="1"/>
                <w:color w:val="auto"/>
              </w:rPr>
              <w:t>02472</w:t>
            </w:r>
          </w:p>
        </w:tc>
        <w:tc>
          <w:tcPr>
            <w:tcW w:w="0" w:type="dxa"/>
            <w:vAlign w:val="bottom"/>
          </w:tcPr>
          <w:p>
            <w:pPr>
              <w:spacing w:after="0"/>
              <w:rPr>
                <w:sz w:val="1"/>
                <w:szCs w:val="1"/>
                <w:color w:val="auto"/>
              </w:rPr>
            </w:pPr>
          </w:p>
        </w:tc>
      </w:tr>
      <w:tr>
        <w:trPr>
          <w:trHeight w:val="220"/>
        </w:trPr>
        <w:tc>
          <w:tcPr>
            <w:tcW w:w="3900" w:type="dxa"/>
            <w:vAlign w:val="bottom"/>
          </w:tcPr>
          <w:p>
            <w:pPr>
              <w:jc w:val="center"/>
              <w:ind w:left="1555"/>
              <w:spacing w:after="0"/>
              <w:rPr>
                <w:sz w:val="20"/>
                <w:szCs w:val="20"/>
                <w:color w:val="auto"/>
              </w:rPr>
            </w:pPr>
            <w:r>
              <w:rPr>
                <w:rFonts w:ascii="Times New Roman" w:cs="Times New Roman" w:eastAsia="Times New Roman" w:hAnsi="Times New Roman"/>
                <w:sz w:val="18"/>
                <w:szCs w:val="18"/>
                <w:b w:val="1"/>
                <w:bCs w:val="1"/>
                <w:color w:val="auto"/>
                <w:w w:val="99"/>
              </w:rPr>
              <w:t>Watertown, MA</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60" w:type="dxa"/>
            <w:vAlign w:val="bottom"/>
          </w:tcPr>
          <w:p>
            <w:pPr>
              <w:jc w:val="center"/>
              <w:ind w:right="1435"/>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34"/>
        </w:trPr>
        <w:tc>
          <w:tcPr>
            <w:tcW w:w="728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00" w:type="dxa"/>
            <w:vAlign w:val="bottom"/>
          </w:tcPr>
          <w:p>
            <w:pPr>
              <w:spacing w:after="0"/>
              <w:rPr>
                <w:sz w:val="24"/>
                <w:szCs w:val="24"/>
                <w:color w:val="auto"/>
              </w:rPr>
            </w:pPr>
          </w:p>
        </w:tc>
        <w:tc>
          <w:tcPr>
            <w:tcW w:w="28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(617) 926-5000</w:t>
            </w: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307"/>
        </w:trPr>
        <w:tc>
          <w:tcPr>
            <w:tcW w:w="72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900" w:type="dxa"/>
            <w:vAlign w:val="bottom"/>
            <w:tcBorders>
              <w:left w:val="single" w:sz="8" w:color="auto"/>
            </w:tcBorders>
            <w:vMerge w:val="restart"/>
          </w:tcPr>
          <w:p>
            <w:pPr>
              <w:jc w:val="center"/>
              <w:ind w:left="535"/>
              <w:spacing w:after="0"/>
              <w:rPr>
                <w:sz w:val="20"/>
                <w:szCs w:val="20"/>
                <w:color w:val="auto"/>
              </w:rPr>
            </w:pPr>
            <w:r>
              <w:rPr>
                <w:rFonts w:ascii="Times New Roman" w:cs="Times New Roman" w:eastAsia="Times New Roman" w:hAnsi="Times New Roman"/>
                <w:sz w:val="14"/>
                <w:szCs w:val="14"/>
                <w:color w:val="auto"/>
              </w:rPr>
              <w:t>Title of each class</w:t>
            </w:r>
          </w:p>
        </w:tc>
        <w:tc>
          <w:tcPr>
            <w:tcW w:w="6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jc w:val="center"/>
              <w:spacing w:after="0" w:line="83" w:lineRule="exact"/>
              <w:rPr>
                <w:sz w:val="20"/>
                <w:szCs w:val="20"/>
                <w:color w:val="auto"/>
              </w:rPr>
            </w:pPr>
            <w:r>
              <w:rPr>
                <w:rFonts w:ascii="Times New Roman" w:cs="Times New Roman" w:eastAsia="Times New Roman" w:hAnsi="Times New Roman"/>
                <w:sz w:val="9"/>
                <w:szCs w:val="9"/>
                <w:color w:val="auto"/>
              </w:rPr>
              <w:t>Trading</w:t>
            </w:r>
          </w:p>
        </w:tc>
        <w:tc>
          <w:tcPr>
            <w:tcW w:w="520" w:type="dxa"/>
            <w:vAlign w:val="bottom"/>
          </w:tcPr>
          <w:p>
            <w:pPr>
              <w:spacing w:after="0"/>
              <w:rPr>
                <w:sz w:val="7"/>
                <w:szCs w:val="7"/>
                <w:color w:val="auto"/>
              </w:rPr>
            </w:pPr>
          </w:p>
        </w:tc>
        <w:tc>
          <w:tcPr>
            <w:tcW w:w="3960" w:type="dxa"/>
            <w:vAlign w:val="bottom"/>
            <w:tcBorders>
              <w:right w:val="single" w:sz="8" w:color="auto"/>
            </w:tcBorders>
            <w:vMerge w:val="restart"/>
          </w:tcPr>
          <w:p>
            <w:pPr>
              <w:jc w:val="center"/>
              <w:ind w:right="455"/>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8"/>
        </w:trPr>
        <w:tc>
          <w:tcPr>
            <w:tcW w:w="3900" w:type="dxa"/>
            <w:vAlign w:val="bottom"/>
            <w:tcBorders>
              <w:left w:val="single" w:sz="8" w:color="auto"/>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Symbol(s)</w:t>
            </w:r>
          </w:p>
        </w:tc>
        <w:tc>
          <w:tcPr>
            <w:tcW w:w="520" w:type="dxa"/>
            <w:vAlign w:val="bottom"/>
            <w:tcBorders>
              <w:bottom w:val="single" w:sz="8" w:color="auto"/>
            </w:tcBorders>
          </w:tcPr>
          <w:p>
            <w:pPr>
              <w:spacing w:after="0"/>
              <w:rPr>
                <w:sz w:val="16"/>
                <w:szCs w:val="16"/>
                <w:color w:val="auto"/>
              </w:rPr>
            </w:pPr>
          </w:p>
        </w:tc>
        <w:tc>
          <w:tcPr>
            <w:tcW w:w="39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900" w:type="dxa"/>
            <w:vAlign w:val="bottom"/>
            <w:tcBorders>
              <w:left w:val="single" w:sz="8" w:color="auto"/>
              <w:bottom w:val="single" w:sz="8" w:color="auto"/>
            </w:tcBorders>
          </w:tcPr>
          <w:p>
            <w:pPr>
              <w:jc w:val="center"/>
              <w:ind w:left="515"/>
              <w:spacing w:after="0" w:line="125" w:lineRule="exact"/>
              <w:rPr>
                <w:sz w:val="20"/>
                <w:szCs w:val="20"/>
                <w:color w:val="auto"/>
              </w:rPr>
            </w:pPr>
            <w:r>
              <w:rPr>
                <w:rFonts w:ascii="Times New Roman" w:cs="Times New Roman" w:eastAsia="Times New Roman" w:hAnsi="Times New Roman"/>
                <w:sz w:val="14"/>
                <w:szCs w:val="14"/>
                <w:color w:val="auto"/>
              </w:rPr>
              <w:t>Common Stock, par value $0.001</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EYPT</w:t>
            </w:r>
          </w:p>
        </w:tc>
        <w:tc>
          <w:tcPr>
            <w:tcW w:w="520" w:type="dxa"/>
            <w:vAlign w:val="bottom"/>
            <w:tcBorders>
              <w:bottom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jc w:val="center"/>
              <w:ind w:right="455"/>
              <w:spacing w:after="0" w:line="125"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p>
    <w:p>
      <w:pPr>
        <w:spacing w:after="0" w:line="60" w:lineRule="exact"/>
        <w:rPr>
          <w:sz w:val="24"/>
          <w:szCs w:val="24"/>
          <w:color w:val="auto"/>
        </w:rPr>
      </w:pPr>
    </w:p>
    <w:p>
      <w:pPr>
        <w:ind w:right="60" w:firstLine="509"/>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p>
    <w:p>
      <w:pPr>
        <w:spacing w:after="0" w:line="74"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46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42"/>
        </w:trPr>
        <w:tc>
          <w:tcPr>
            <w:tcW w:w="21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6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20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There were 83,841,298 shares of the registrant’s common stock, $0.001 par value, outstanding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20" w:type="dxa"/>
            <w:vAlign w:val="bottom"/>
            <w:gridSpan w:val="18"/>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Unaudited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March 31, 2026 and December 31, 2025</w:t>
            </w:r>
          </w:p>
        </w:tc>
        <w:tc>
          <w:tcPr>
            <w:tcW w:w="332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 Three Months Ended March 31, 2026 and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 Three Months Ended March 31, 2026 and 2025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tcBorders>
              <w:right w:val="single" w:sz="8" w:color="0000FF"/>
            </w:tcBorders>
            <w:shd w:val="clear" w:color="auto" w:fill="0000EE"/>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2026 and 2025</w:t>
            </w:r>
          </w:p>
        </w:tc>
        <w:tc>
          <w:tcPr>
            <w:tcW w:w="20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6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Quantitative and Qualitative Disclosures about Market Risk</w:t>
            </w:r>
          </w:p>
        </w:tc>
        <w:tc>
          <w:tcPr>
            <w:tcW w:w="2200" w:type="dxa"/>
            <w:vAlign w:val="bottom"/>
            <w:tcBorders>
              <w:top w:val="single" w:sz="8" w:color="0000FF"/>
            </w:tcBorders>
            <w:gridSpan w:val="2"/>
          </w:tcPr>
          <w:p>
            <w:pPr>
              <w:spacing w:after="0"/>
              <w:rPr>
                <w:sz w:val="24"/>
                <w:szCs w:val="24"/>
                <w:color w:val="auto"/>
              </w:rPr>
            </w:pPr>
          </w:p>
        </w:tc>
        <w:tc>
          <w:tcPr>
            <w:tcW w:w="252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Legal Proceedings</w:t>
            </w:r>
          </w:p>
        </w:tc>
        <w:tc>
          <w:tcPr>
            <w:tcW w:w="240" w:type="dxa"/>
            <w:vAlign w:val="bottom"/>
            <w:tcBorders>
              <w:top w:val="single" w:sz="8" w:color="0000FF"/>
            </w:tcBorders>
            <w:gridSpan w:val="2"/>
          </w:tcPr>
          <w:p>
            <w:pPr>
              <w:spacing w:after="0"/>
              <w:rPr>
                <w:sz w:val="24"/>
                <w:szCs w:val="24"/>
                <w:color w:val="auto"/>
              </w:rPr>
            </w:pPr>
          </w:p>
        </w:tc>
        <w:tc>
          <w:tcPr>
            <w:tcW w:w="77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Upon Senior Securities</w:t>
            </w:r>
          </w:p>
        </w:tc>
        <w:tc>
          <w:tcPr>
            <w:tcW w:w="2160" w:type="dxa"/>
            <w:vAlign w:val="bottom"/>
            <w:tcBorders>
              <w:top w:val="single" w:sz="8" w:color="0000FF"/>
            </w:tcBorders>
            <w:gridSpan w:val="2"/>
          </w:tcPr>
          <w:p>
            <w:pPr>
              <w:spacing w:after="0"/>
              <w:rPr>
                <w:sz w:val="24"/>
                <w:szCs w:val="24"/>
                <w:color w:val="auto"/>
              </w:rPr>
            </w:pPr>
          </w:p>
        </w:tc>
        <w:tc>
          <w:tcPr>
            <w:tcW w:w="472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380" w:type="dxa"/>
            <w:vAlign w:val="bottom"/>
            <w:tcBorders>
              <w:top w:val="single" w:sz="8" w:color="0000FF"/>
            </w:tcBorders>
            <w:gridSpan w:val="2"/>
          </w:tcPr>
          <w:p>
            <w:pPr>
              <w:spacing w:after="0"/>
              <w:rPr>
                <w:sz w:val="24"/>
                <w:szCs w:val="24"/>
                <w:color w:val="auto"/>
              </w:rPr>
            </w:pPr>
          </w:p>
        </w:tc>
        <w:tc>
          <w:tcPr>
            <w:tcW w:w="752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328,655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288,217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363,996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57,883</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Contingencies (Note 12)</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7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5,000,000 shares authorized, no shares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300,000,000 shares authorized at March 31, 2026</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 83,453,001 and 82,826,416 shares issued and outstanding at March 31,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1,419,397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1,410,047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(1,189,810)</w:t>
            </w: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(1,104,978)</w:t>
            </w: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230,472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306,113</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288,217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363,996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-3813810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-3813810</wp:posOffset>
            </wp:positionV>
            <wp:extent cx="77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-2973705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-2957195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-2973705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-2957195</wp:posOffset>
            </wp:positionV>
            <wp:extent cx="77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-1842135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-1842135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sales, net</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18"/>
                <w:szCs w:val="18"/>
                <w:color w:val="auto"/>
              </w:rPr>
            </w:pP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License and collaboration agreements</w:t>
            </w: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income</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(87,226)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1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(84,832)</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(0.99)</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85,999</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(84,832)</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gain (loss) on available-for-sale</w:t>
            </w:r>
          </w:p>
        </w:tc>
        <w:tc>
          <w:tcPr>
            <w:tcW w:w="1120" w:type="dxa"/>
            <w:vAlign w:val="bottom"/>
            <w:shd w:val="clear" w:color="auto" w:fill="CFF0FC"/>
          </w:tcPr>
          <w:p>
            <w:pPr>
              <w:spacing w:after="0"/>
              <w:rPr>
                <w:sz w:val="17"/>
                <w:szCs w:val="17"/>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120" w:type="dxa"/>
            <w:vAlign w:val="bottom"/>
            <w:shd w:val="clear" w:color="auto" w:fill="CFF0FC"/>
          </w:tcPr>
          <w:p>
            <w:pPr>
              <w:spacing w:after="0"/>
              <w:rPr>
                <w:sz w:val="19"/>
                <w:szCs w:val="19"/>
                <w:color w:val="auto"/>
              </w:rPr>
            </w:pPr>
          </w:p>
        </w:tc>
        <w:tc>
          <w:tcPr>
            <w:tcW w:w="8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(84,991)</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-3179445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-3179445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-2339340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-2339340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-1923415</wp:posOffset>
            </wp:positionV>
            <wp:extent cx="857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6884670</wp:posOffset>
            </wp:positionH>
            <wp:positionV relativeFrom="paragraph">
              <wp:posOffset>-1923415</wp:posOffset>
            </wp:positionV>
            <wp:extent cx="8572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-1473835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-1456690</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-1473835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-1456690</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-1174115</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-1156970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-1174115</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-1156970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-873760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-856615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-873760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-856615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97" w:right="6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2220" w:type="dxa"/>
            <w:vAlign w:val="bottom"/>
            <w:gridSpan w:val="3"/>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222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100" w:type="dxa"/>
            <w:vAlign w:val="bottom"/>
          </w:tcPr>
          <w:p>
            <w:pPr>
              <w:jc w:val="right"/>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Par Value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0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5"/>
                <w:szCs w:val="15"/>
                <w:color w:val="auto"/>
              </w:rPr>
            </w:pPr>
          </w:p>
        </w:tc>
        <w:tc>
          <w:tcPr>
            <w:tcW w:w="134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380" w:type="dxa"/>
            <w:vAlign w:val="bottom"/>
            <w:gridSpan w:val="3"/>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68,266,005</w:t>
            </w:r>
          </w:p>
        </w:tc>
        <w:tc>
          <w:tcPr>
            <w:tcW w:w="112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68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1,208,421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(873,016)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336,501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(45,195)</w:t>
            </w: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(45,195)</w:t>
            </w: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 (loss) on available-for-sale</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68,779</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Stock units granted, net of units withheld for</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tax</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421,290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r>
        <w:trPr>
          <w:trHeight w:val="205"/>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68,811,357</w:t>
            </w:r>
          </w:p>
        </w:tc>
        <w:tc>
          <w:tcPr>
            <w:tcW w:w="112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1,215,615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(918,211)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82,826,416</w:t>
            </w:r>
          </w:p>
        </w:tc>
        <w:tc>
          <w:tcPr>
            <w:tcW w:w="112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83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1,410,047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(1,104,978)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(84,832)</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(84,832)</w:t>
            </w:r>
          </w:p>
        </w:tc>
        <w:tc>
          <w:tcPr>
            <w:tcW w:w="0" w:type="dxa"/>
            <w:vAlign w:val="bottom"/>
          </w:tcPr>
          <w:p>
            <w:pPr>
              <w:spacing w:after="0"/>
              <w:rPr>
                <w:sz w:val="1"/>
                <w:szCs w:val="1"/>
                <w:color w:val="auto"/>
              </w:rPr>
            </w:pPr>
          </w:p>
        </w:tc>
      </w:tr>
      <w:tr>
        <w:trPr>
          <w:trHeight w:val="189"/>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(loss) on available-for-sale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63,086</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77,124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units granted, net of units withheld for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486,375</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(3,416)</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83,453,001</w:t>
            </w:r>
          </w:p>
        </w:tc>
        <w:tc>
          <w:tcPr>
            <w:tcW w:w="112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83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1,419,397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(1,189,810)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230,472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-1610995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-1610995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-1610995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-1610995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-1610995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EYEPOINT,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7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6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(84,832)</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(45,195)</w:t>
            </w:r>
          </w:p>
        </w:tc>
      </w:tr>
      <w:tr>
        <w:trPr>
          <w:trHeight w:val="189"/>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cash flows used in</w:t>
            </w:r>
          </w:p>
        </w:tc>
        <w:tc>
          <w:tcPr>
            <w:tcW w:w="7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activities: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7"/>
                <w:szCs w:val="17"/>
                <w:color w:val="auto"/>
              </w:rPr>
            </w:pPr>
          </w:p>
        </w:tc>
      </w:tr>
      <w:tr>
        <w:trPr>
          <w:trHeight w:val="189"/>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Amortization of debt discount and premium and discount on</w:t>
            </w:r>
          </w:p>
        </w:tc>
        <w:tc>
          <w:tcPr>
            <w:tcW w:w="7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1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available-for-sale marketable securities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(778)</w:t>
            </w:r>
          </w:p>
        </w:tc>
        <w:tc>
          <w:tcPr>
            <w:tcW w:w="9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(1,733)</w:t>
            </w:r>
          </w:p>
        </w:tc>
      </w:tr>
      <w:tr>
        <w:trPr>
          <w:trHeight w:val="203"/>
        </w:trPr>
        <w:tc>
          <w:tcPr>
            <w:tcW w:w="7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11,638</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and other current assets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(4,954)</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Other assets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(3,359)</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7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Inventory</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Right-of-use assets and operating lease liabilities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(23,522)</w:t>
            </w:r>
          </w:p>
        </w:tc>
      </w:tr>
      <w:tr>
        <w:trPr>
          <w:trHeight w:val="203"/>
        </w:trPr>
        <w:tc>
          <w:tcPr>
            <w:tcW w:w="7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94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(80,549)</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(53,120)</w:t>
            </w:r>
          </w:p>
        </w:tc>
      </w:tr>
      <w:tr>
        <w:trPr>
          <w:trHeight w:val="196"/>
        </w:trPr>
        <w:tc>
          <w:tcPr>
            <w:tcW w:w="7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0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(9,949)</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(39,424)</w:t>
            </w:r>
          </w:p>
        </w:tc>
      </w:tr>
      <w:tr>
        <w:trPr>
          <w:trHeight w:val="203"/>
        </w:trPr>
        <w:tc>
          <w:tcPr>
            <w:tcW w:w="7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79,225</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(997)</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w:t>
            </w:r>
          </w:p>
        </w:tc>
      </w:tr>
      <w:tr>
        <w:trPr>
          <w:trHeight w:val="196"/>
        </w:trPr>
        <w:tc>
          <w:tcPr>
            <w:tcW w:w="71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70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59,054</w:t>
            </w:r>
          </w:p>
        </w:tc>
        <w:tc>
          <w:tcPr>
            <w:tcW w:w="24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39,525</w:t>
            </w:r>
          </w:p>
        </w:tc>
        <w:tc>
          <w:tcPr>
            <w:tcW w:w="100" w:type="dxa"/>
            <w:vAlign w:val="bottom"/>
            <w:tcBorders>
              <w:top w:val="single" w:sz="8" w:color="CFF0FC"/>
            </w:tcBorders>
          </w:tcPr>
          <w:p>
            <w:pPr>
              <w:spacing w:after="0"/>
              <w:rPr>
                <w:sz w:val="17"/>
                <w:szCs w:val="17"/>
                <w:color w:val="auto"/>
              </w:rPr>
            </w:pPr>
          </w:p>
        </w:tc>
      </w:tr>
      <w:tr>
        <w:trPr>
          <w:trHeight w:val="19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equity issue costs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(297)</w:t>
            </w:r>
          </w:p>
        </w:tc>
        <w:tc>
          <w:tcPr>
            <w:tcW w:w="9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(291)</w:t>
            </w: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settlement of stock units to satisfy statutory tax withholding</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(3,416)</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(1,218)</w:t>
            </w:r>
          </w:p>
        </w:tc>
      </w:tr>
      <w:tr>
        <w:trPr>
          <w:trHeight w:val="203"/>
        </w:trPr>
        <w:tc>
          <w:tcPr>
            <w:tcW w:w="7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stock options and employee stock purchase plan</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718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(2,614)</w:t>
            </w:r>
          </w:p>
        </w:tc>
        <w:tc>
          <w:tcPr>
            <w:tcW w:w="9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(951)</w:t>
            </w:r>
          </w:p>
        </w:tc>
      </w:tr>
      <w:tr>
        <w:trPr>
          <w:trHeight w:val="20"/>
        </w:trPr>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(24,109)</w:t>
            </w:r>
          </w:p>
        </w:tc>
        <w:tc>
          <w:tcPr>
            <w:tcW w:w="9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(14,546)</w:t>
            </w:r>
          </w:p>
        </w:tc>
      </w:tr>
      <w:tr>
        <w:trPr>
          <w:trHeight w:val="20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101,971</w:t>
            </w: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99,854</w:t>
            </w:r>
          </w:p>
        </w:tc>
        <w:tc>
          <w:tcPr>
            <w:tcW w:w="100" w:type="dxa"/>
            <w:vAlign w:val="bottom"/>
          </w:tcPr>
          <w:p>
            <w:pPr>
              <w:spacing w:after="0"/>
              <w:rPr>
                <w:sz w:val="17"/>
                <w:szCs w:val="17"/>
                <w:color w:val="auto"/>
              </w:rPr>
            </w:pPr>
          </w:p>
        </w:tc>
      </w:tr>
      <w:tr>
        <w:trPr>
          <w:trHeight w:val="23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6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77,862</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85,308</w:t>
            </w:r>
          </w:p>
        </w:tc>
        <w:tc>
          <w:tcPr>
            <w:tcW w:w="100" w:type="dxa"/>
            <w:vAlign w:val="bottom"/>
            <w:shd w:val="clear" w:color="auto" w:fill="CFF0FC"/>
          </w:tcPr>
          <w:p>
            <w:pPr>
              <w:spacing w:after="0"/>
              <w:rPr>
                <w:sz w:val="20"/>
                <w:szCs w:val="20"/>
                <w:color w:val="auto"/>
              </w:rPr>
            </w:pPr>
          </w:p>
        </w:tc>
      </w:tr>
      <w:tr>
        <w:trPr>
          <w:trHeight w:val="183"/>
        </w:trPr>
        <w:tc>
          <w:tcPr>
            <w:tcW w:w="7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70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77,712</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85,158</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r>
      <w:tr>
        <w:trPr>
          <w:trHeight w:val="236"/>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cash, cash equivalents and restricted cash at end of period</w:t>
            </w:r>
          </w:p>
        </w:tc>
        <w:tc>
          <w:tcPr>
            <w:tcW w:w="16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77,862</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85,308</w:t>
            </w:r>
          </w:p>
        </w:tc>
        <w:tc>
          <w:tcPr>
            <w:tcW w:w="100" w:type="dxa"/>
            <w:vAlign w:val="bottom"/>
            <w:shd w:val="clear" w:color="auto" w:fill="CFF0FC"/>
          </w:tcPr>
          <w:p>
            <w:pPr>
              <w:spacing w:after="0"/>
              <w:rPr>
                <w:sz w:val="20"/>
                <w:szCs w:val="20"/>
                <w:color w:val="auto"/>
              </w:rPr>
            </w:pPr>
          </w:p>
        </w:tc>
      </w:tr>
      <w:tr>
        <w:trPr>
          <w:trHeight w:val="183"/>
        </w:trPr>
        <w:tc>
          <w:tcPr>
            <w:tcW w:w="7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70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liability arising from obtaining right-of-use assets</w:t>
            </w:r>
          </w:p>
        </w:tc>
        <w:tc>
          <w:tcPr>
            <w:tcW w:w="16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additions in accounts payable and accrued expenses</w:t>
            </w:r>
          </w:p>
        </w:tc>
        <w:tc>
          <w:tcPr>
            <w:tcW w:w="16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tcPr>
          <w:p>
            <w:pPr>
              <w:spacing w:after="0"/>
              <w:rPr>
                <w:sz w:val="17"/>
                <w:szCs w:val="17"/>
                <w:color w:val="auto"/>
              </w:rPr>
            </w:pP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 issuance costs in accounts payable and accrued expenses</w:t>
            </w:r>
          </w:p>
        </w:tc>
        <w:tc>
          <w:tcPr>
            <w:tcW w:w="16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-2939415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-2416810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-1628140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-1087755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-1070610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-539115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-521970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ind w:left="340" w:right="2640"/>
        <w:spacing w:after="0" w:line="278" w:lineRule="auto"/>
        <w:rPr>
          <w:sz w:val="20"/>
          <w:szCs w:val="20"/>
          <w:color w:val="auto"/>
        </w:rPr>
      </w:pPr>
      <w:r>
        <w:rPr>
          <w:rFonts w:ascii="Times New Roman" w:cs="Times New Roman" w:eastAsia="Times New Roman" w:hAnsi="Times New Roman"/>
          <w:sz w:val="18"/>
          <w:szCs w:val="18"/>
          <w:b w:val="1"/>
          <w:bCs w:val="1"/>
          <w:color w:val="auto"/>
        </w:rPr>
        <w:t>EYEPOINT, INC. AND SUBSIDIARIES NOTES TO CONDENSED CONSOLIDATED FINANCIAL STATEMENTS (Unaudited)</w:t>
      </w:r>
    </w:p>
    <w:p>
      <w:pPr>
        <w:spacing w:after="0" w:line="344"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EyePoint, Inc., a Delaware corporation (together with its subsidiaries, the Company), as of March 31, 2026 and for the three months ended March 31, 2026 and 2025 are unaudited. Certain information in the footnote disclosures of these financial statements has been condensed or omitted in accordance with the rules and regulations of the Securities and Exchange Commission. These financial statements should be read in conjunction with the Company’s audited consolidated financial statements and footnotes included in the Company’s Annual Report on Form 10-K for the year ended December 31, 2025. In the opinion of management, these statements have been prepared on the same basis as the audited consolidated financial statements as of and for the year ended December 31, 2025, and include all adjustments, consisting only of normal recurring adjustments, that are necessary for the fair presentation of the Company’s financial position, results of operations, and cash flows for the periods indicated. The preparation of financial statements in accordance with United States (U.S.) generally accepted accounting principles requires management to make assumptions and estimates that affect, among other things, (i) reported amounts of assets and liabilities; (ii) disclosure of contingent assets and liabilities at the date of the condensed consolidated financial statements; and (iii) reported amounts of revenues and expenses during the reporting period. The results of operations for the three months ended March 31, 2026 are not necessarily indicative of the results that may be expected for the entire 2026 fiscal year or any future period.</w:t>
      </w:r>
    </w:p>
    <w:p>
      <w:pPr>
        <w:spacing w:after="0" w:line="14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Company is committed to developing and commercializing innovative therapeutics to help improve the lives of patients with serious retinal diseases. The Company's pipeline leverages its proprietary bioerodible Durasert E™ technology (Durasert E™) for sustained intraocular drug delivery. The Company’s lead product candidate, DURAVYU™</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(a/k/a EYP-1901), is an investigational sustained delivery treatment for vascular endothelial growth factor (VEGF) mediated retinal diseases combining vorolanib, a selective and patent-protected tyrosine kinase inhibitor (TKI) with Durasert E™. DURAVYU is currently being evaluated in Phase 3 pivotal trials (LUGANO and LUCIA) for wet age-related macular degeneration (wet AMD) with data readout beginning in mid-2026. Pivotal Phase 3 clinical trials (COMO and CAPRI) in diabetic macular edema (DME) dosed first patients in February 2026 with enrollment completion anticipated in the third quarter of 2026. EyePoint is headquartered in Watertown, Massachusetts with a commercial manufacturing facility in Northbridge, Massachusetts.</w:t>
      </w:r>
    </w:p>
    <w:p>
      <w:pPr>
        <w:spacing w:after="0" w:line="15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plans to identify and advance additional product candidates through clinical development for its pipeline. This may be accomplished through internal discovery efforts, research collaborations and/or in-licensing arrangements and potential acquisitions of additional products, product candidates or technologies.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had cash, cash equivalents and investments in marketable securities of $222.5 million at March 31, 2026. The Company has a history of operating losses and has not had significant recurring cash inflows from revenue. The Company’s operations have been financed primarily from sales of its equity securities, issuance of debt and a combination of license fees, milestone payments, royalty income, and other fees received from its collaboration partners. The Company anticipates that it will continue to incur losses as it continues the research and development of its product candidates, and the Company does not expect revenues to generate sufficient funding to sustain its operations in the near-term. The Company expects to continue fulfilling its funding needs through cash inflows from licensing and research collaboration transactions, additional equity capital raises and other arrangements. The Company believes that its cash, cash equivalents and investments in marketable securities of $222.5 million at March 31, 2026 will enable the Company to fund its current and planned operations for at least the next twelve months from the date these consolidated financial statements were issued. Actual cash requirements could differ from management’s projections due to many factors, the timing and results of the Company’s clinical trials for DURAVYU, additional investments in research and development programs, competing technological and market developments, the costs of any ongoing obligations in connection with a final negotiated settlement with the DOJ and HHS and the costs of any strategic acquisitions, and/or development of complementary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firstLine="8"/>
        <w:spacing w:after="0" w:line="264" w:lineRule="auto"/>
        <w:tabs>
          <w:tab w:leader="none" w:pos="144"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DURAVYU™ has been conditionally accepted by the FDA as the proprietary name for EYP-1901. DURAVYU is an investigational product candidate; it has not been approved by the FDA. FDA approval and the timeline for potential approval is uncertain.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2025, and notes thereto, which are included in the Company’s Annual Report on Form 10-K that was filed with the Securities and Exchange Commission, or the SEC, on March 5, 2026, or the 2025 Form 10-K. Since the date of those financial statements, there have been no material changes to the Company's significant accounting policies.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—Income Statement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The amendments in ASU 2024-03 address investor requests for more detailed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w:t>
      </w:r>
    </w:p>
    <w:p>
      <w:pPr>
        <w:spacing w:after="0" w:line="1" w:lineRule="exact"/>
        <w:rPr>
          <w:sz w:val="20"/>
          <w:szCs w:val="20"/>
          <w:color w:val="auto"/>
        </w:rPr>
      </w:pPr>
    </w:p>
    <w:p>
      <w:pPr>
        <w:ind w:right="540"/>
        <w:spacing w:after="0" w:line="292" w:lineRule="auto"/>
        <w:rPr>
          <w:sz w:val="20"/>
          <w:szCs w:val="20"/>
          <w:color w:val="auto"/>
        </w:rPr>
      </w:pPr>
      <w:r>
        <w:rPr>
          <w:rFonts w:ascii="Times New Roman" w:cs="Times New Roman" w:eastAsia="Times New Roman" w:hAnsi="Times New Roman"/>
          <w:sz w:val="17"/>
          <w:szCs w:val="17"/>
          <w:color w:val="auto"/>
        </w:rPr>
        <w:t>December 15, 2027, with early adoption permitted. The Company is currently evaluating the impact of adopting this ASU on its consolidated financial statements and disclosures.</w:t>
      </w:r>
    </w:p>
    <w:p>
      <w:pPr>
        <w:spacing w:after="0" w:line="12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Improvements to Interim Disclosure Requirements</w:t>
      </w:r>
      <w:r>
        <w:rPr>
          <w:rFonts w:ascii="Times New Roman" w:cs="Times New Roman" w:eastAsia="Times New Roman" w:hAnsi="Times New Roman"/>
          <w:sz w:val="18"/>
          <w:szCs w:val="18"/>
          <w:color w:val="auto"/>
        </w:rPr>
        <w:t>, which clarifies disclosure requirements for interim financial statements. The ASU is effective for interim reporting periods beginning after December 15, 2027, with early adoption permitted. The Company is currently evaluating the impact of adopting this ASU on its consolidated financial statements and disclosures</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includes targeted amendments to clarify, correct, and improve various aspects of the FASB Accounting Standards Codification. The ASU is effective for annual periods beginning after December 15, 2026, and interim periods within those annual reporting periods, with early adoption permitted. The Company is currently evaluating the impact of adopting this ASU on its consolidated financial statements and disclosures</w:t>
      </w:r>
    </w:p>
    <w:p>
      <w:pPr>
        <w:spacing w:after="0" w:line="13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 and Royalty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ANI Product Rights Agreement (PRA) and Commercial Supply Agreement</w:t>
      </w:r>
    </w:p>
    <w:p>
      <w:pPr>
        <w:spacing w:after="0" w:line="189" w:lineRule="exact"/>
        <w:rPr>
          <w:sz w:val="20"/>
          <w:szCs w:val="20"/>
          <w:color w:val="auto"/>
        </w:rPr>
      </w:pPr>
    </w:p>
    <w:p>
      <w:pPr>
        <w:ind w:right="260" w:firstLine="509"/>
        <w:spacing w:after="0" w:line="239" w:lineRule="auto"/>
        <w:rPr>
          <w:sz w:val="20"/>
          <w:szCs w:val="20"/>
          <w:color w:val="auto"/>
        </w:rPr>
      </w:pPr>
      <w:r>
        <w:rPr>
          <w:rFonts w:ascii="Times New Roman" w:cs="Times New Roman" w:eastAsia="Times New Roman" w:hAnsi="Times New Roman"/>
          <w:sz w:val="18"/>
          <w:szCs w:val="18"/>
          <w:color w:val="auto"/>
        </w:rPr>
        <w:t>On May 17, 2023, the Company entered into a PRA with ANI Pharmaceuticals, Inc. (ANI). Under the PRA, the Company granted to ANI an exclusive and sublicensable right and license (the License) under the Company’s and its affiliates’ interest in certain of the Company’s and its affiliates’ intellectual property to develop, manufacture, sell, commercialize, and otherwise exploit certain products, including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the treatment and prevention of uveitis in the entire world except Europe, the Middle East and Africa (EMEA).</w:t>
      </w:r>
    </w:p>
    <w:p>
      <w:pPr>
        <w:spacing w:after="0" w:line="17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Additionally, pursuant to the PRA, the Company transferred and assigned to ANI certain assets and certain contracts with third parties related to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including the new drug application for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(collectively, the Asset Transfer). Pursuant to the PRA, ANI paid the Company a $75.0 million upfront payment (the Upfront Payment). ANI also made four quarterly payments of $1.875 million to the Company totaling $7.5 million during 2024. ANI will also pay royalties to the Company from 2025 to 2028 at a percentage of low-to-mid double digits of ANI’s related U.S. annual net sales of certain products (including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excess of certain thresholds, beginning at $70 million in 2025, and increasing annually thereafter. Upon ANI’s payment of the Upfront Payment and the 2024 quarterly payments, the licenses and rights granted to ANI automatically became perpetual and irrevocable. Payments received from ANI are non-refundable.</w:t>
      </w:r>
    </w:p>
    <w:p>
      <w:pPr>
        <w:spacing w:after="0" w:line="161"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The Company and ANI also entered into a commercial supply agreement (CSA), pursuant to which, during the term of the PRA, the Company agreed to manufacture and exclusively supply to ANI agreed-upon quantities of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necessary for ANI to commercialize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United States at certain cost plus amounts, subject to adjustments and potential extensions and terminations set forth in the CSA. The CSA with ANI automatically terminated on May 31, 2025.</w:t>
      </w:r>
    </w:p>
    <w:p>
      <w:pPr>
        <w:spacing w:after="0" w:line="160"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Revenue from sales of product supply to ANI under the CSA was $0 and $0.6 million during the three months ended March 31, 2026 and 2025, respectively. License and Collaboration revenue related to the PRA was $0 and $10.8 million during the three months ended March 31, 2026 and 2025, respectively. License and collaboration revenue, related to additional transitional services was $0.1 million and $0.2 million for the three months ended March 31, 2026 and 2025, respectively.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SWK Royalty Purchase Agreement</w:t>
      </w:r>
    </w:p>
    <w:p>
      <w:pPr>
        <w:spacing w:after="0" w:line="202"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a royalty purchase agreement (RPA) with SWK Funding LLC (SWK), the Company sold its right to receive royalty payments on future sales of products subject to a licensing and development agreement, as amended, with ANI (the Amended ANI Agreement) for an upfront cash payment of $16.5 million. The Company classified the proceeds received from SWK as deferred revenue at inception of the RPA and is recognizing revenue as royalty payments are made from ANI to SWK.</w:t>
      </w:r>
    </w:p>
    <w:p>
      <w:pPr>
        <w:spacing w:after="0" w:line="139"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On March 18, 2025, ANI announced that it completed the buyout of its 3.125% perpetual royalty obligation to SWK on worldwide net revenues of ILUVIEN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a one-time payment of $17.25 million. Under the terms of the agreement, upon making the buyout payment, no further royalty is due to SWK on net revenues beginning January 1, 2025, forward. As a result, the Company terminated the RPA effective March 18, 2025.</w:t>
      </w:r>
    </w:p>
    <w:p>
      <w:pPr>
        <w:spacing w:after="0" w:line="15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$0 and $12.7 million of royalty income related to the RPA for the three months ended March 31, 2026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Ocumension Therapeutics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an Exclusive License Agreement on November 2, 2018, as amended by a Memorandum of Understanding dated March 1, 2019, a Memorandum of Understanding dated August 18, 2020, a Supply and Quality Agreement on February 19, 2019 and a Memorandum of Understanding on August 26, 2024. Pursuant to the license agreement and Memorandum of Understanding signed with the Company, Ocumension has:</w:t>
      </w:r>
    </w:p>
    <w:p>
      <w:pPr>
        <w:spacing w:after="0" w:line="75" w:lineRule="exact"/>
        <w:rPr>
          <w:sz w:val="20"/>
          <w:szCs w:val="20"/>
          <w:color w:val="auto"/>
        </w:rPr>
      </w:pPr>
    </w:p>
    <w:p>
      <w:pPr>
        <w:ind w:left="1020" w:right="160" w:hanging="503"/>
        <w:spacing w:after="0" w:line="21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license for the development and commercialization of its three-year micro insert using the Durasert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for the treatment of posterior segment uveitis of the eye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in Mainland China, Hong Kong, Macau, and Taiwan at its own cost and expense in return for royalties based on sales with the Company supplying products for clinical trials and commercial sale;</w:t>
      </w:r>
    </w:p>
    <w:p>
      <w:pPr>
        <w:jc w:val="both"/>
        <w:ind w:left="1020" w:right="80" w:hanging="503"/>
        <w:spacing w:after="0" w:line="23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license for the development and commercialization in Mainland China, Hong Kong, Macau, and Taiwan of DEXYCU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post-operative inflammation following ocular surgery at its own cost and expense in return for royalties based on sales with the Company supplying product for clinical trials and commercial sale; and</w:t>
      </w:r>
    </w:p>
    <w:p>
      <w:pPr>
        <w:ind w:left="1020" w:right="440" w:hanging="503"/>
        <w:spacing w:after="0" w:line="23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rights to develop and commercialize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DEXYCU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under its own brand names in South Korea and other jurisdictions across Southeast Asia in Brunei, Burma (Myanmar), Cambodia, Timor-Leste, Indonesia, Laos, Malaysia, the Philippines, Singapore, Thailand, and Vietnam (the Territory), at its own cost and expense in return for royalties based on sales with the Company supplying product for clinical trials and commercial sale.</w:t>
      </w:r>
    </w:p>
    <w:p>
      <w:pPr>
        <w:spacing w:after="0" w:line="2" w:lineRule="exact"/>
        <w:rPr>
          <w:rFonts w:ascii="Times New Roman" w:cs="Times New Roman" w:eastAsia="Times New Roman" w:hAnsi="Times New Roman"/>
          <w:sz w:val="18"/>
          <w:szCs w:val="18"/>
          <w:color w:val="auto"/>
        </w:rPr>
      </w:pPr>
    </w:p>
    <w:p>
      <w:pPr>
        <w:ind w:left="1020" w:right="320" w:hanging="503"/>
        <w:spacing w:after="0" w:line="22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and obligation to manufacture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either by itself or through affiliates or sub-contractors, for sale and use in the Territory following completion of a technology and know-how transfer from the Company to Ocumension.</w:t>
      </w:r>
    </w:p>
    <w:p>
      <w:pPr>
        <w:spacing w:after="0" w:line="15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$0.5 million and $0, respectively, from sales of product supply to Ocumension under the supply agreement. Royalty income of $0.1 million and $0, respectively, was recorded for the three months ended March 31, 2026 and 2025. License and collaboration revenue related to additional technical assistance during the three months ended March 31, 2026 and 2025 was immaterial.</w:t>
      </w:r>
    </w:p>
    <w:p>
      <w:pPr>
        <w:spacing w:after="0" w:line="14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also had $8.7 million and $5.4 million, respectively, of long term prepaid clinical expense included in other assets on its consolidated balance sheets.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9" w:name="page10"/>
    <w:bookmarkEnd w:id="9"/>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consisted of the following (in thousands):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26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9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326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FF0FC"/>
          </w:tcPr>
          <w:p>
            <w:pPr>
              <w:spacing w:after="0"/>
              <w:rPr>
                <w:sz w:val="19"/>
                <w:szCs w:val="19"/>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100% of the Company’s inventory balance was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related.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14,534</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4,011</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contingencies and legal fees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5,736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5,160</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Sales chargebacks, rebates and other revenue reserves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627</w:t>
            </w:r>
          </w:p>
        </w:tc>
      </w:tr>
      <w:tr>
        <w:trPr>
          <w:trHeight w:val="209"/>
        </w:trPr>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16,441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24,394</w:t>
            </w:r>
          </w:p>
        </w:tc>
      </w:tr>
      <w:tr>
        <w:trPr>
          <w:trHeight w:val="20"/>
        </w:trPr>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13, 2026, the Company amended the lease for its headquarters in Watertown, Massachusetts. Under the amendment, the Company leased an additional 10,675 square feet of rentable area of the building, with a commencement date of April 1, 2026 and a term of 18 months.</w:t>
      </w:r>
    </w:p>
    <w:p>
      <w:pPr>
        <w:spacing w:after="0" w:line="121"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On March 31, 2025, the Company amended the lease for its headquarters in Watertown, Massachusetts to extend the term to May 31, 2028 for 8,383 square feet of laboratory and manufacturing operations space. During the first quarter of 2025, the Company recognized a $0.9 million increase to its lease liabilities and right-of-use (ROU) assets resulting from the lease amendment for the term extension of the laboratory and manufacturing operations space.</w:t>
      </w:r>
    </w:p>
    <w:p>
      <w:pPr>
        <w:spacing w:after="0" w:line="13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23, 2023, the Company entered into a lease agreement (the Northbridge Lease) for its new standalone commercial manufacturing facility, including office and lab space located at 600 Commerce Drive, Northbridge, Massachusetts. The new 41,141 square-foot manufacturing facility is Current Good Manufacturing Practice (cGMP) compliant to meet U.S. FDA and European Medicines Agency (EMA) standards to support DURAVYU clinical supply and commercial readiness upon regulatory approval. In addition, the building has the capacity and capabilities for pipeline expansion. The lease includes a non-cancellable lease term of fifteen years and four months, with two options to extend the lease term for two additional terms of either five years or ten years at 95% of the then-prevailing fair market rent. The lease term, under ASC 842, commenced during the second quarter of 2024. The Company entered into an amendment to the Northbridge Lease, effective September 30, 2024. Pursuant to the amendment, the Company's obligation to pay base rent began on March 1, 2025. The Company is responsible for real estate taxes, maintenance, and other operating expenses applicable to the leased premises. The Company recognized an initial increase of $17.7 million to its lease liabilities and $17.9 million to its right-of-use (ROU) assets resulting from the Northbridge Lease during the second quarter of 2024.</w:t>
      </w:r>
    </w:p>
    <w:p>
      <w:pPr>
        <w:spacing w:after="0" w:line="1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Since the Company elected to account for each lease component and its associated non-lease components as a single combined component, all contract consideration was allocated to the respective lease components. The expected lease terms include non-cancellable lease periods. Renewal option periods have not been included in the determination of the lease terms as they are not deemed reasonably certain of exercise. Variable lease payments, such as common area maintenance, real estate taxes, and property insurance are not included in the determination of the lease’s ROU asset or lease liability.</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0" w:name="page11"/>
    <w:bookmarkEnd w:id="10"/>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weighted average remaining term of the Company’s operating leases was 11.7 years and the weighted average discount rate was 11.8%. As of March 31, 2025 the weighted average remaining term of the Company’s operating leases was 12.1 years and the weighted average discount rate was 11.63%.</w:t>
      </w:r>
    </w:p>
    <w:p>
      <w:pPr>
        <w:spacing w:after="0" w:line="36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are as follows (in thousands):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 – operating lease current portion</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elements of lease expense were as follows (in thousands):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expense included in:</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8"/>
                <w:szCs w:val="18"/>
                <w:color w:val="auto"/>
              </w:rPr>
            </w:pP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r>
      <w:tr>
        <w:trPr>
          <w:trHeight w:val="249"/>
        </w:trPr>
        <w:tc>
          <w:tcPr>
            <w:tcW w:w="60" w:type="dxa"/>
            <w:vAlign w:val="bottom"/>
          </w:tcPr>
          <w:p>
            <w:pPr>
              <w:spacing w:after="0"/>
              <w:rPr>
                <w:sz w:val="21"/>
                <w:szCs w:val="21"/>
                <w:color w:val="auto"/>
              </w:rPr>
            </w:pPr>
          </w:p>
        </w:tc>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88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-1568450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-1550670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-1568450</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-1550670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-316865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$1.1 million and $0.6 million for the three months ended March 31, 2026 and 2025, respectively.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total future minimum lease payments under non-cancellable leases at March 31, 2026 were as follows (in thousands):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2026</w:t>
            </w: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ind w:right="9040" w:firstLine="8"/>
        <w:spacing w:after="0" w:line="464" w:lineRule="auto"/>
        <w:tabs>
          <w:tab w:leader="none" w:pos="50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ATM Facility</w:t>
      </w: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entered into an at-the-market facility (the ATM Facility) with Cantor Fitzgerald &amp; Co (Cantor). Pursuant to the ATM Facility, the Company may, at its option, offer and sell shares of its common stock from time to time, through or to Cantor, acting as sales agent. The Company will pay Cantor a commission of 3.0% of the gross proceeds from any future sales of such shares.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did not sell any shares of our common stock under our ATM offering facility.</w:t>
      </w:r>
    </w:p>
    <w:p>
      <w:pPr>
        <w:spacing w:after="0" w:line="19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April and May 2026, the Company sold 385,395 shares of common stock under the ATM facility at a weighted average price of $14.75 per share for gross proceeds of approximately $5.7 million. Share issue costs, including sales agent commissions, totaled approximately $0.3 million.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Warrants to Purchase Common Shares</w:t>
      </w:r>
    </w:p>
    <w:p>
      <w:pPr>
        <w:spacing w:after="0" w:line="20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issued 3,272,727 shares of pre-funded warrants (PFWs) to purchase common stock, in connection with the November 2021 underwritten public offering. On April 18, 2024, 2,181,818 PFWs were exercised in full as a cashless exercise, resulting in a net issuance of 2,180,776 shares of common stock.</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1,500,000 shares of PFWs to purchase common stock, in connection with the October 2025 underwritten public offering.</w:t>
      </w:r>
    </w:p>
    <w:p>
      <w:pPr>
        <w:spacing w:after="0" w:line="18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2025, 2,590,909 and 1,090,909 PFWs were outstanding, respectively. The PFWs were included in the basic and diluted net loss per share calculations during both periods.</w:t>
      </w:r>
    </w:p>
    <w:p>
      <w:pPr>
        <w:spacing w:after="0" w:line="131" w:lineRule="exact"/>
        <w:rPr>
          <w:sz w:val="20"/>
          <w:szCs w:val="20"/>
          <w:color w:val="auto"/>
        </w:rPr>
      </w:pPr>
    </w:p>
    <w:p>
      <w:pPr>
        <w:ind w:right="8360" w:firstLine="8"/>
        <w:spacing w:after="0" w:line="456" w:lineRule="auto"/>
        <w:tabs>
          <w:tab w:leader="none" w:pos="50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Awards Equity Incentive Plan</w:t>
      </w: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2023 Long-Term Incentive Plan (the “2023 Plan”), approved by the Company’s stockholders on June 20, 2023 (the “Adoption Date”), originally provided for the issuance of up to 3,500,000 shares of the Company’s common stock reserved for issuance under the 2023 Plan plus any additional shares of the Company’s common stock that were available for grant under the 2008 and the 2016 Incentive Plan (the “2008 &amp; 2016 Plan”) at the Adoption Date or would otherwise become available for grant under the 2008 Plan as a result of subsequent termination or forfeiture of awards under the 2008 or 2016 Plan. Prior to June 18, 2025, the maximum aggregate number of shares available for issuance under the 2023 Plan was equal to (i) 7,500,000 shares, plus (ii) 184,904 shares that were previously available for grant under the Company’s 2016 Equity Incentive Plan (the 2016 Plan) that were transferred to the 2023 Plan on June 20, 2023, plus (iii) any shares granted under the Company’s 2008 Equity Incentive Plan or 2016 Plan (collectively, the Prior Plans) that, on or after the effective date of the 2023 Plan, become available as a result of the termination or forfeiture of awards under the Prior Plans. At the Company’s Annual Meeting of Stockholders held on June 18, 2025, the Company’s stockholders approved an amendment to the 2023 Plan to increase the number of shares authorized for issuance by 2,900,000 shares to 10,400,000 shares under the 2023 Plan. At March 31, 2026, a total of approximately 1,198,385 shares were available for new awards under the 2023 Plan.</w:t>
      </w:r>
    </w:p>
    <w:p>
      <w:pPr>
        <w:spacing w:after="0" w:line="16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Starting March 2022, the Company granted non-statutory stock options to new employees as inducement awards to enter into employment with the Company. The grants were approved by the Compensation Committee of the Board of Directors and awarded in accordance with Nasdaq Listing Rule 5635(c)(4). Although not awarded under any equity incentive plans, the grants are subject to and governed by the terms and conditions of the applicable plan in effect at the time of the grant.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stock option activity under the Company’s equity incentive plan and for inducement awards for the three months ended March 31, 2026:</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392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92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39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9,665,842</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73,168</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2,467,116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(77,124)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(58,828)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11,921,353</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1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6,030,667</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11.68</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3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20,695</w:t>
            </w:r>
          </w:p>
        </w:tc>
        <w:tc>
          <w:tcPr>
            <w:tcW w:w="120" w:type="dxa"/>
            <w:vAlign w:val="bottom"/>
            <w:shd w:val="clear" w:color="auto" w:fill="CFF0FC"/>
          </w:tcPr>
          <w:p>
            <w:pPr>
              <w:spacing w:after="0"/>
              <w:rPr>
                <w:sz w:val="18"/>
                <w:szCs w:val="18"/>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-333375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-333375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-333375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stock options generally vest over four years with 25% vesting after one year of service followed by ratable monthly vesting over the remaining three years. Nonemployee awards are granted similar to the Company’s employee awards. All option grants have a 10-year term.</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12" w:name="page13"/>
    <w:bookmarkEnd w:id="12"/>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over the requisite service period based on the grant date fair value of the award. The Company has elected to use the Black-Scholes option pricing model to determine the fair value of awards granted. The determination of the fair value of stock-based awards utilizing the Black-Scholes model is affected by the share price and a number of assumptions, including expected volatility, expected life, risk-free interest rate and expected dividends. The Company determined the expected volatility by using available historical price information. The expected life of the awards is estimated based on the simplified method. The risk-free interest rate assumption is based on observed interest rates appropriate for the terms of the awards. The dividend yield assumption is based on history and expectation of paying no dividends. Forfeitures have not been material in the periods presented.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the share-based awards was measured with the following range of assumptions for the three months ended March 31, 2026:</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600" w:type="dxa"/>
            <w:vAlign w:val="bottom"/>
          </w:tcPr>
          <w:p>
            <w:pPr>
              <w:spacing w:after="0"/>
              <w:rPr>
                <w:sz w:val="20"/>
                <w:szCs w:val="20"/>
                <w:color w:val="auto"/>
              </w:rPr>
            </w:pPr>
          </w:p>
        </w:tc>
        <w:tc>
          <w:tcPr>
            <w:tcW w:w="2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life (in years)</w:t>
            </w:r>
          </w:p>
        </w:tc>
        <w:tc>
          <w:tcPr>
            <w:tcW w:w="2380" w:type="dxa"/>
            <w:vAlign w:val="bottom"/>
            <w:gridSpan w:val="2"/>
            <w:shd w:val="clear" w:color="auto" w:fill="CCECFF"/>
          </w:tcPr>
          <w:p>
            <w:pPr>
              <w:jc w:val="right"/>
              <w:ind w:right="770"/>
              <w:spacing w:after="0"/>
              <w:rPr>
                <w:sz w:val="20"/>
                <w:szCs w:val="20"/>
                <w:color w:val="auto"/>
              </w:rPr>
            </w:pPr>
            <w:r>
              <w:rPr>
                <w:rFonts w:ascii="Times New Roman" w:cs="Times New Roman" w:eastAsia="Times New Roman" w:hAnsi="Times New Roman"/>
                <w:sz w:val="18"/>
                <w:szCs w:val="18"/>
                <w:color w:val="auto"/>
              </w:rPr>
              <w:t>5.5 - 6.08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Stock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- 3.94%</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3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5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employee, non-executive director and external consultant stock options for the three months ended March 31, 2026 (in thousands except per share amount):</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cash received from exercise of stock options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FF0FC"/>
          </w:tcPr>
          <w:p>
            <w:pPr>
              <w:spacing w:after="0"/>
              <w:rPr>
                <w:sz w:val="18"/>
                <w:szCs w:val="18"/>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Options</w:t>
      </w:r>
    </w:p>
    <w:p>
      <w:pPr>
        <w:spacing w:after="0" w:line="202" w:lineRule="exact"/>
        <w:rPr>
          <w:sz w:val="20"/>
          <w:szCs w:val="20"/>
          <w:color w:val="auto"/>
        </w:rPr>
      </w:pPr>
    </w:p>
    <w:p>
      <w:pPr>
        <w:ind w:right="100" w:firstLine="509"/>
        <w:spacing w:after="0" w:line="220" w:lineRule="exact"/>
        <w:rPr>
          <w:sz w:val="20"/>
          <w:szCs w:val="20"/>
          <w:color w:val="auto"/>
        </w:rPr>
      </w:pPr>
      <w:r>
        <w:rPr>
          <w:rFonts w:ascii="Times New Roman" w:cs="Times New Roman" w:eastAsia="Times New Roman" w:hAnsi="Times New Roman"/>
          <w:sz w:val="18"/>
          <w:szCs w:val="18"/>
          <w:color w:val="auto"/>
        </w:rPr>
        <w:t>During the first quarter of 2026, the Company’s board of directors approved the issuance of stock options to purchase an aggregate of 671,000 shares of the Company’s common stock. These options contain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conditions, which are earned and become eligible to vest based upon both the retained employment of the grantees and the achievement of certain development and regulatory performance based milestones related to DURAVYU. The Company will account for these awards using variable accounting in accordance with ASC 718.</w:t>
      </w:r>
    </w:p>
    <w:p>
      <w:pPr>
        <w:spacing w:after="0" w:line="119" w:lineRule="exact"/>
        <w:rPr>
          <w:sz w:val="20"/>
          <w:szCs w:val="20"/>
          <w:color w:val="auto"/>
        </w:rPr>
      </w:pPr>
    </w:p>
    <w:p>
      <w:pPr>
        <w:ind w:right="140" w:firstLine="509"/>
        <w:spacing w:after="0" w:line="236" w:lineRule="exact"/>
        <w:rPr>
          <w:sz w:val="20"/>
          <w:szCs w:val="20"/>
          <w:color w:val="auto"/>
        </w:rPr>
      </w:pPr>
      <w:r>
        <w:rPr>
          <w:rFonts w:ascii="Times New Roman" w:cs="Times New Roman" w:eastAsia="Times New Roman" w:hAnsi="Times New Roman"/>
          <w:sz w:val="18"/>
          <w:szCs w:val="18"/>
          <w:color w:val="auto"/>
        </w:rPr>
        <w:t>For the three months ended March 31, 2026, the Company recognized no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these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options. The Company will begin recognizing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these options in future periods if and when the relevant performance milestones are achieved or achievement becomes probable.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Restricted Stock Units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Time-vested restricted stock units (RSUs) issued to date under the 2016 Plan and the 2023 Plan generally vest on a ratable annual basis over 3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stock-based compensation expense is recorded over the requisite service period, which is the vesting period. The fair value of all time-vested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is based on the closing share price of the Company’s common stock on the date of grant.</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RSU activity under the 2016 Plan and the 2023 Plan for the three months ended March 31,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1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200" w:type="dxa"/>
            <w:vAlign w:val="bottom"/>
            <w:gridSpan w:val="2"/>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3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1,473,538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6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(685,554)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68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1,665,778</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-933450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-916305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At March 31, 2026, the weighted average remaining vesting term of the RSUs was 1.7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Company’s Employee Stock Purchase Plan (the ESPP) allows qualified participants to purchase the Company’s common stock twice a year at 85% of the lesser of the average of the high and low sales price of the Company’s common stock on (i) the first trading day of the relevant offering period and (ii) the last trading day of the relevant offering period. The number of shares of the Company’s common stock each employee may purchase under this plan, when combined with all other employee stock purchase plans, is limited to the lower of an aggregate fair market value of $25,000 during each calendar year, or 5,000 shares of the Company’s common stock in any one offering period. The Company has maintained consecutive six-month offering periods since August 1, 2019. During the three months ended March 31, 2026, 63,086 shares of the Company’s common stock were issued pursuant to the ESPP.</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estimated the fair value of the option component of the ESPP shares at the date of grant using a Black-Scholes valuation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compensation expense from ESPP shares was $0.1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operations and comprehensive loss included total compensation expense from stock-based payment awards as follows (in thousands):</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expense included in:</w:t>
            </w:r>
          </w:p>
        </w:tc>
        <w:tc>
          <w:tcPr>
            <w:tcW w:w="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gridSpan w:val="2"/>
          </w:tcPr>
          <w:p>
            <w:pPr>
              <w:jc w:val="right"/>
              <w:ind w:right="81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3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2"/>
          </w:tcPr>
          <w:p>
            <w:pPr>
              <w:jc w:val="right"/>
              <w:ind w:right="81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3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At March 31, 2026, there was approximately $58.3 million of unrecognized compensation expense related to outstanding equity awards under the 2023 Plan, the 2016 Plan, the inducement awards and the ESPP that is expected to be recognized as expense over a weighted average period of approximately 1.75 years.</w:t>
      </w:r>
    </w:p>
    <w:p>
      <w:pPr>
        <w:spacing w:after="0" w:line="13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assets by significant categories carried at fair value measured on a recurring basis by valuation hierarchy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88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Borders>
              <w:top w:val="single" w:sz="8" w:color="auto"/>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80" w:type="dxa"/>
            <w:vAlign w:val="bottom"/>
            <w:tcBorders>
              <w:top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8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202,124</w:t>
            </w:r>
          </w:p>
        </w:tc>
        <w:tc>
          <w:tcPr>
            <w:tcW w:w="3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202,086</w:t>
            </w:r>
          </w:p>
        </w:tc>
        <w:tc>
          <w:tcPr>
            <w:tcW w:w="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57,253</w:t>
            </w:r>
          </w:p>
        </w:tc>
        <w:tc>
          <w:tcPr>
            <w:tcW w:w="3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144,833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-1816735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-1799590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-1816735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-1799590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-1816735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-1799590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-1816735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-1799590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-1816735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-1799590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-1816735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-1799590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-1242060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-1242060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-1242060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-1242060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-1242060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-1242060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-933450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-916305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-933450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-916305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-933450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-916305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-933450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-916305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-933450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-916305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r>
      <w:tr>
        <w:trPr>
          <w:trHeight w:val="238"/>
        </w:trPr>
        <w:tc>
          <w:tcPr>
            <w:tcW w:w="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169"/>
        </w:trPr>
        <w:tc>
          <w:tcPr>
            <w:tcW w:w="188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
        </w:trPr>
        <w:tc>
          <w:tcPr>
            <w:tcW w:w="580" w:type="dxa"/>
            <w:vAlign w:val="bottom"/>
            <w:tcBorders>
              <w:top w:val="single" w:sz="8" w:color="auto"/>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89,072</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89,072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89,072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89,072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1880" w:type="dxa"/>
            <w:vAlign w:val="bottom"/>
            <w:tcBorders>
              <w:top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
        </w:trPr>
        <w:tc>
          <w:tcPr>
            <w:tcW w:w="5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89,211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89,243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4,990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84,253</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90,101</w:t>
            </w:r>
          </w:p>
        </w:tc>
      </w:tr>
      <w:tr>
        <w:trPr>
          <w:trHeight w:val="216"/>
        </w:trPr>
        <w:tc>
          <w:tcPr>
            <w:tcW w:w="1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209,134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204,265</w:t>
            </w:r>
          </w:p>
        </w:tc>
      </w:tr>
      <w:tr>
        <w:trPr>
          <w:trHeight w:val="20"/>
        </w:trPr>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18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298,206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298,327</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94,062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204,265</w:t>
            </w:r>
          </w:p>
        </w:tc>
      </w:tr>
      <w:tr>
        <w:trPr>
          <w:trHeight w:val="20"/>
        </w:trPr>
        <w:tc>
          <w:tcPr>
            <w:tcW w:w="5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-908050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-890905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-908050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-890905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-908050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-890905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-908050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-890905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-908050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-890905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-333375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-333375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-333375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-333375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-333375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At March 31, 2026, a total of $57.3 million or 100% of the Company’s interest-bearing cash equivalent balances were concentrated in one institutional money market fund that has investments consisting primarily of Repurchase Agreements and U.S Treasuries. At December 31, 2025, a total of $89.1 million or 94.7% of the Company’s interest-bearing cash equivalent balances were concentrated in one institutional money market fund that has investments consisting primarily of Repurchase Agreements, U.S Treasuries, and U.S. Government Agency Debts.</w:t>
      </w:r>
    </w:p>
    <w:p>
      <w:pPr>
        <w:spacing w:after="0" w:line="13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classified within Level 1 or Level 2 on the basis of valuations using quoted market prices or alternative pricing sources and models utilizing market observable inputs, respectively. The marketable securities have been valued on the basis of valuations provided by third-party pricing services, as derived from such services’ pricing models.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and have been classified as Level 2.</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accounts receivable, accounts payable, and accrued expenses approximate fair value because of their short-term maturity.</w:t>
      </w:r>
    </w:p>
    <w:p>
      <w:pPr>
        <w:spacing w:after="0" w:line="181" w:lineRule="exact"/>
        <w:rPr>
          <w:sz w:val="20"/>
          <w:szCs w:val="20"/>
          <w:color w:val="auto"/>
        </w:rPr>
      </w:pPr>
    </w:p>
    <w:p>
      <w:pPr>
        <w:ind w:right="9060" w:firstLine="8"/>
        <w:spacing w:after="0" w:line="464" w:lineRule="auto"/>
        <w:tabs>
          <w:tab w:leader="none" w:pos="50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Business Segment</w:t>
      </w: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is the business of developing and commercializing innovative products for the treatment of serious retinal diseases. Operating segments are identified as components of an enterprise about which separate discrete financial information is available for evaluation by the chief operating decision maker (CODM) in making decisions regarding resource allocation and assessing performance. The Company's CODM is the Chief Executive Officer. The CODM made such decisions and assessed performance at the Company level, as one segment.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tbl>
      <w:tblPr>
        <w:tblLayout w:type="fixed"/>
        <w:tblInd w:w="52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segment expenses are as follows (in thousands):</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6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DURAVYU direct research and development expense</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(46,852)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(41,898)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direct research and development expense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Personnel expense (including stock-based compensation)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(30,234)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(20,841)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 expense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 expense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Legal, corporate and professional expenses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segment expenses*</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(4,497)</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51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(45,195)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-153670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segment expenses include cost of goods sold and other expenses required to operate as a public company, such as insurance, software and contracted services.</w:t>
      </w:r>
    </w:p>
    <w:p>
      <w:pPr>
        <w:spacing w:after="0" w:line="11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9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routine legal proceedings and claims incidental to its business, which management believes will not have a material effect on the Company’s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Department of Justice Subpoena</w:t>
      </w:r>
    </w:p>
    <w:p>
      <w:pPr>
        <w:spacing w:after="0" w:line="20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previously reported, in August 2022, the Company received a subpoena from the U.S. Attorney’s Office for the District of Massachusetts (DOJ), seeking production of documents related to sales, marketing, and promotional practices, including as pertain to DEXYCU®, which the Company commercialized from 2019 to 2023.</w:t>
      </w:r>
    </w:p>
    <w:p>
      <w:pPr>
        <w:spacing w:after="0" w:line="13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been cooperating fully with the government in connection with this matter, which stems from a sealed qui tam complaint filed in the U.S. District Court for the District of Massachusetts. The DOJ investigation relates to the False Claims Act and the Anti-Kickback Statute, and has focused on certain of the Company’s sales, marketing and promotional practices, including sampling practices, as pertain to DEXYCU during the period for which the Company commercialized this product.</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previously disclosed, the Company has been in discussions with the DOJ regarding a possible negotiated resolution. In the first quarter of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reached an agreement in principle with the DOJ to settle these matters for a payment of approximately $4.7 million plus interest (exclusive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fees payable by the Company to counsel for relators in the qui tam action which are expected to be at or about $0.2 million),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principle subject to our reaching an agreement in principle with the Office of Inspector General of the Department of Health and Human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(HHS). Under ASC 450, the Company recorded an approximately $4.7 million litigation contingency liability for this matter in its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 as of December 31, 2025 based on the status of settlement discussions with the DOJ as of that date. The Company recorded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accrual during the first quarter of 2026, for an ending accrual balance of $4.9 million as of March 31, 2026 related to this matter. As of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2025, the contingent liability amount related to this matter was not determinable, and, accordingly the Company did not record a liability as of that date.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February 26, 2026, the Company reached an agreement in principle with HHS to resolve matters related to the DOJ investigation on terms to include the Company entering into a corporate integrity agreement and HHS agreeing not to seek the Company’s exclusion from participation in Medicare, Medicaid, or other federal health care programs.</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agreements in principle are subject to negotiation, completion and execution of appropriate documents resolving these matters, including a settlement agreement and a corporate integrity agreement, which are expected to be finalized in or around the second quarter of 2026. There is no guarantee that the Company will be able to reach final agreement with DOJ or HHS. If the Company is not able to conclude a final resolution with the U.S. government, the DOJ may elect to proceed against the Company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6" w:name="page17"/>
    <w:bookmarkEnd w:id="16"/>
    <w:p>
      <w:pPr>
        <w:ind w:right="620"/>
        <w:spacing w:after="0" w:line="282" w:lineRule="auto"/>
        <w:rPr>
          <w:sz w:val="20"/>
          <w:szCs w:val="20"/>
          <w:color w:val="auto"/>
        </w:rPr>
      </w:pPr>
      <w:r>
        <w:rPr>
          <w:rFonts w:ascii="Times New Roman" w:cs="Times New Roman" w:eastAsia="Times New Roman" w:hAnsi="Times New Roman"/>
          <w:sz w:val="18"/>
          <w:szCs w:val="18"/>
          <w:color w:val="auto"/>
        </w:rPr>
        <w:t>seek damages in excess of the agreed in principle settlement amount, which potential liability cannot be reasonably estimated. Should a negotiated resolution of these matters not be achieved, the Company intends to defend itself vigorously.</w:t>
      </w:r>
    </w:p>
    <w:p>
      <w:pPr>
        <w:spacing w:after="0" w:line="13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 For periods in which the Company reports net income, diluted net income per share is determined by adding to the basic weighted average number of common shares outstanding the total number of dilutive common equivalent shares using the treasury stock method, unless the effect is anti-dilutive.</w:t>
      </w:r>
    </w:p>
    <w:p>
      <w:pPr>
        <w:spacing w:after="0" w:line="13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Common stock equivalents excluded from the calculation of diluted earnings per share because the effect would have been anti-dilutive were as follows: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6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18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11,921,353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9,394,686</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1,665,778</w:t>
            </w:r>
          </w:p>
        </w:tc>
        <w:tc>
          <w:tcPr>
            <w:tcW w:w="2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1,551,534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13,604,822</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10,969,855</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Nancy S. Lurker, the former Chief Executive Officer and Executive Vice Chair of the Company and current Vice Chair of the Board is a member of the board of directors of Altasciences, the parent company of Calvert Laboratories, Inc. (Calvert Labs), an entity with which the Company conducts business. The Company recorded $0.3 million and $0.2 million of research and development expense in the accompanying condensed consolidated statements of operations and comprehensive loss related to preclinical and analytical services provided by Altasciences for the three months ended March 31, 2026 and 2025, respectively. Additionally, the Company recorded accounts payable of $0.1 million and $0, and prepaid expenses of $0.4 million and $0.3 million in the accompanying consolidated balance sheets related to services provided by Altasciences, as of March 31, 2026 and December 31, 2025, respectively.</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7" w:right="399" w:bottom="1440" w:gutter="0" w:footer="0" w:header="0"/>
        </w:sectPr>
      </w:pPr>
    </w:p>
    <w:bookmarkStart w:id="17" w:name="page18"/>
    <w:bookmarkEnd w:id="17"/>
    <w:p>
      <w:pPr>
        <w:ind w:right="378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Note Regarding Forward-Looking Statements</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139" w:lineRule="exact"/>
        <w:rPr>
          <w:sz w:val="20"/>
          <w:szCs w:val="20"/>
          <w:color w:val="auto"/>
        </w:rPr>
      </w:pPr>
    </w:p>
    <w:p>
      <w:pPr>
        <w:ind w:left="900" w:right="200" w:hanging="383"/>
        <w:spacing w:after="0" w:line="257"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DURAVYU™, as an investigational sustained delivery intravitreal treatment deploying a bioerodible Durasert E™ insert of vorolanib, a selective and patented tyrosine kinase inhibitor (TKI) targeting wet age-related macular degeneration (wet AMD) and diabetic macular edema (DME);</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outcome of our ongoing clinical trials for DURAVYU for the treatment of wet AMD and DME;</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DURAVYU is on track to be the first-to-market of the current investigational sustained release treatments for wet AMD;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DURAVYU has two potential blockbuster indications;</w:t>
      </w:r>
    </w:p>
    <w:p>
      <w:pPr>
        <w:spacing w:after="0" w:line="9" w:lineRule="exact"/>
        <w:rPr>
          <w:rFonts w:ascii="Times New Roman" w:cs="Times New Roman" w:eastAsia="Times New Roman" w:hAnsi="Times New Roman"/>
          <w:sz w:val="18"/>
          <w:szCs w:val="18"/>
          <w:color w:val="auto"/>
        </w:rPr>
      </w:pPr>
    </w:p>
    <w:p>
      <w:pPr>
        <w:ind w:left="900" w:right="640" w:hanging="383"/>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DURAVYU’s potential real-world application in multiple retinal disease indications and de-risked trial designs position DURAVYU for clinical and commercial success;</w:t>
      </w:r>
    </w:p>
    <w:p>
      <w:pPr>
        <w:ind w:left="900" w:right="300" w:hanging="383"/>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outcome of our planned regulatory communication and interactions with the U.S. Food and Drug Administration (FDA) and comparable regulatory bodies;</w:t>
      </w: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clinical development of our other product candidates;</w:t>
      </w:r>
    </w:p>
    <w:p>
      <w:pPr>
        <w:spacing w:after="0" w:line="9" w:lineRule="exact"/>
        <w:rPr>
          <w:rFonts w:ascii="Times New Roman" w:cs="Times New Roman" w:eastAsia="Times New Roman" w:hAnsi="Times New Roman"/>
          <w:sz w:val="18"/>
          <w:szCs w:val="18"/>
          <w:color w:val="auto"/>
        </w:rPr>
      </w:pPr>
    </w:p>
    <w:p>
      <w:pPr>
        <w:ind w:left="900" w:right="80" w:hanging="383"/>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cash, cash equivalents, and investments in marketable securities of $222.5 million at March 31, 2026, will enable us to fund operations into the fourth quarter of 2027, beyond Phase 3 wet AMD topline data for DURAVYU expected in 2026;</w:t>
      </w: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expenses and capital expenditures;</w:t>
      </w:r>
    </w:p>
    <w:p>
      <w:pPr>
        <w:spacing w:after="0" w:line="9" w:lineRule="exact"/>
        <w:rPr>
          <w:rFonts w:ascii="Times New Roman" w:cs="Times New Roman" w:eastAsia="Times New Roman" w:hAnsi="Times New Roman"/>
          <w:sz w:val="18"/>
          <w:szCs w:val="18"/>
          <w:color w:val="auto"/>
        </w:rPr>
      </w:pPr>
    </w:p>
    <w:p>
      <w:pPr>
        <w:ind w:left="900" w:right="80" w:hanging="383"/>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an agreement in principle with the U.S. Attorneys’ Office for the District of Massachusetts (DOJ) and the Office of the Inspector General of the Department of Health and Human Services related to the DOJ’s investigation into certain of our sales, marketing and promotional practices as pertain to DEXYCU and our expectations regarding a negotiated resolution;</w:t>
      </w:r>
    </w:p>
    <w:p>
      <w:pPr>
        <w:spacing w:after="0" w:line="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pending litigation against Ocular Therapeutix, Inc.</w:t>
      </w:r>
    </w:p>
    <w:p>
      <w:pPr>
        <w:spacing w:after="0" w:line="9" w:lineRule="exact"/>
        <w:rPr>
          <w:rFonts w:ascii="Times New Roman" w:cs="Times New Roman" w:eastAsia="Times New Roman" w:hAnsi="Times New Roman"/>
          <w:sz w:val="18"/>
          <w:szCs w:val="18"/>
          <w:color w:val="auto"/>
        </w:rPr>
      </w:pPr>
    </w:p>
    <w:p>
      <w:pPr>
        <w:ind w:left="900" w:right="340" w:hanging="383"/>
        <w:spacing w:after="0" w:line="25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adequately maintain sufficient intellectual property protection for DURAVYU and any other products or product candidates, and to avoid claims of infringement of third-party intellectual property rights;</w:t>
      </w:r>
    </w:p>
    <w:p>
      <w:pPr>
        <w:ind w:left="900" w:right="460" w:hanging="383"/>
        <w:spacing w:after="0" w:line="247"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warning letter we received from the FDA in July 2024, or the Warning Letter, pertaining to YUTIQ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manufacturing, citing alleged violations of cGMP requirements in connection with an FDA inspection at the our Watertown facility in February 2024 and our fully executed plan which implemented the corrective and preventive actions required by the Warning Letter; and</w:t>
      </w:r>
    </w:p>
    <w:p>
      <w:pPr>
        <w:ind w:left="900" w:right="200" w:hanging="383"/>
        <w:spacing w:after="0" w:line="260"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continue to incur significant expenses and that our operating losses and our net cash outflows to fund operations will continue for the foreseeable future.</w:t>
      </w:r>
    </w:p>
    <w:p>
      <w:pPr>
        <w:spacing w:after="0" w:line="14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“likely”, “expect”, “intend”, “anticipate”, “believe”, “estimate”, “plan”, “project”, “forecast”, and “outlook”.</w:t>
      </w:r>
    </w:p>
    <w:p>
      <w:pPr>
        <w:spacing w:after="0" w:line="16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162"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include the timing, progress and results of our clinical development activities;</w:t>
      </w:r>
    </w:p>
    <w:p>
      <w:pPr>
        <w:spacing w:after="0" w:line="27" w:lineRule="exact"/>
        <w:rPr>
          <w:rFonts w:ascii="Times New Roman" w:cs="Times New Roman" w:eastAsia="Times New Roman" w:hAnsi="Times New Roman"/>
          <w:sz w:val="18"/>
          <w:szCs w:val="18"/>
          <w:color w:val="auto"/>
        </w:rPr>
      </w:pPr>
    </w:p>
    <w:p>
      <w:pPr>
        <w:ind w:left="900" w:right="1020" w:hanging="383"/>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delays relating to communications with the FDA and the ability to obtain regulatory approval from FDA for the commercialization of DURAVYU;</w:t>
      </w: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resources;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8" w:name="page19"/>
    <w:bookmarkEnd w:id="18"/>
    <w:p>
      <w:pPr>
        <w:ind w:left="900" w:right="260" w:hanging="383"/>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settlement agreement and corporate integrity agreement with the government regarding the DOJ investigation and uncertainties related to the impact such agreements would have on our business, financial condition and results of operations;</w:t>
      </w: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needed capital;</w:t>
      </w:r>
    </w:p>
    <w:p>
      <w:pPr>
        <w:spacing w:after="0" w:line="9" w:lineRule="exact"/>
        <w:rPr>
          <w:rFonts w:ascii="Times New Roman" w:cs="Times New Roman" w:eastAsia="Times New Roman" w:hAnsi="Times New Roman"/>
          <w:sz w:val="18"/>
          <w:szCs w:val="18"/>
          <w:color w:val="auto"/>
        </w:rPr>
      </w:pPr>
    </w:p>
    <w:p>
      <w:pPr>
        <w:ind w:left="900" w:right="4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results of clinical trials may not be predictive of future results, and interim and preliminary data are subject to further analysis and may change as more data becomes available;</w:t>
      </w: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safety or efficacy data observed during clinical trials;</w:t>
      </w:r>
    </w:p>
    <w:p>
      <w:pPr>
        <w:spacing w:after="0" w:line="9" w:lineRule="exact"/>
        <w:rPr>
          <w:rFonts w:ascii="Times New Roman" w:cs="Times New Roman" w:eastAsia="Times New Roman" w:hAnsi="Times New Roman"/>
          <w:sz w:val="18"/>
          <w:szCs w:val="18"/>
          <w:color w:val="auto"/>
        </w:rPr>
      </w:pPr>
    </w:p>
    <w:p>
      <w:pPr>
        <w:ind w:left="900" w:right="20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regulatory authorization or approval process, and available development and regulatory pathways for approval of our product candidates;</w:t>
      </w: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and legislative environment;</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trade policies;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expected or existing competition;</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scope, and outcome of any governmental inquiries or investigations;</w:t>
      </w:r>
    </w:p>
    <w:p>
      <w:pPr>
        <w:spacing w:after="0" w:line="9" w:lineRule="exact"/>
        <w:rPr>
          <w:rFonts w:ascii="Times New Roman" w:cs="Times New Roman" w:eastAsia="Times New Roman" w:hAnsi="Times New Roman"/>
          <w:sz w:val="18"/>
          <w:szCs w:val="18"/>
          <w:color w:val="auto"/>
        </w:rPr>
      </w:pPr>
    </w:p>
    <w:p>
      <w:pPr>
        <w:ind w:left="900" w:right="480" w:hanging="383"/>
        <w:spacing w:after="0" w:line="25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current and future license and collaboration agreements, including our agreements with ANI Pharmaceuticals, Inc. (ANI), Equinox Science, LLC (Equinox), and Ocumension Therapeutics (Ocumension);</w:t>
      </w: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contract research organizations, vendors, and clinical investigators;</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clinical supply of our product candidates;</w:t>
      </w:r>
    </w:p>
    <w:p>
      <w:pPr>
        <w:spacing w:after="0" w:line="9" w:lineRule="exact"/>
        <w:rPr>
          <w:rFonts w:ascii="Times New Roman" w:cs="Times New Roman" w:eastAsia="Times New Roman" w:hAnsi="Times New Roman"/>
          <w:sz w:val="18"/>
          <w:szCs w:val="18"/>
          <w:color w:val="auto"/>
        </w:rPr>
      </w:pPr>
    </w:p>
    <w:p>
      <w:pPr>
        <w:ind w:left="900" w:hanging="383"/>
        <w:spacing w:after="0" w:line="21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supply of YUTIQ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DEXYCU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fulfillment of our Ocumension Agreement;</w:t>
      </w:r>
    </w:p>
    <w:p>
      <w:pPr>
        <w:ind w:left="900" w:right="60" w:hanging="383"/>
        <w:spacing w:after="0" w:line="249"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global economic conditions, uncertainty caused by geopolitical violence and unrest and public health crises impact our business, the medical community, and the global economy;</w:t>
      </w: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if approved;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 and avoiding intellectual property infringement;</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corrective and preventive actions required by the Warning Letter to the satisfaction of the FDA;</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and</w:t>
      </w:r>
    </w:p>
    <w:p>
      <w:pPr>
        <w:spacing w:after="0" w:line="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our filings with the SEC.</w:t>
      </w:r>
    </w:p>
    <w:p>
      <w:pPr>
        <w:spacing w:after="0" w:line="1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2025, as supplemented by the risks set forth under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142" w:lineRule="exact"/>
        <w:rPr>
          <w:sz w:val="20"/>
          <w:szCs w:val="20"/>
          <w:color w:val="auto"/>
        </w:rPr>
      </w:pPr>
    </w:p>
    <w:p>
      <w:pPr>
        <w:ind w:right="80" w:firstLine="509"/>
        <w:spacing w:after="0" w:line="217" w:lineRule="auto"/>
        <w:rPr>
          <w:sz w:val="20"/>
          <w:szCs w:val="20"/>
          <w:color w:val="auto"/>
        </w:rPr>
      </w:pPr>
      <w:r>
        <w:rPr>
          <w:rFonts w:ascii="Times New Roman" w:cs="Times New Roman" w:eastAsia="Times New Roman" w:hAnsi="Times New Roman"/>
          <w:sz w:val="18"/>
          <w:szCs w:val="18"/>
          <w:color w:val="auto"/>
        </w:rPr>
        <w:t>EYEPOINT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DEXYCU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Durasert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DELIVERING INNOVATION TO THE EYE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WITH AN EYE ON PATIENTS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our trademarks. ILUVIEN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ANI’s trademark The reports we file or furnish with the SEC, including this Quarterly Report on Form 10-Q, also contain trademarks, trade names, and service marks of other companies, which are the property of their respective owners.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developing and commercializing innovative therapeutics to improve the lives of patients with serious retinal diseases. Our pipeline leverages proprietary bioerodible Durasert E™ technology (Durasert E™) for sustained intraocular drug delivery. Our lead product candidate, DURAVYU™ (a/k/a EYP-1901), is an investigational sustained delivery treatment for vascular endothelial growth factor (VEGF) mediated retinal diseases combining</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9" w:name="page20"/>
    <w:bookmarkEnd w:id="19"/>
    <w:p>
      <w:pPr>
        <w:ind w:right="40"/>
        <w:spacing w:after="0" w:line="282" w:lineRule="auto"/>
        <w:rPr>
          <w:sz w:val="20"/>
          <w:szCs w:val="20"/>
          <w:color w:val="auto"/>
        </w:rPr>
      </w:pPr>
      <w:r>
        <w:rPr>
          <w:rFonts w:ascii="Times New Roman" w:cs="Times New Roman" w:eastAsia="Times New Roman" w:hAnsi="Times New Roman"/>
          <w:sz w:val="18"/>
          <w:szCs w:val="18"/>
          <w:color w:val="auto"/>
        </w:rPr>
        <w:t>vorolanib, a selective and patent-protected tyrosine kinase inhibitor (TKI) with Durasert E™. EyePoint is headquartered in Watertown, Massachusetts with a commercial manufacturing facility in Northbridge, Massachusetts.</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DURAVYU brings a potential new multi-mechanism of action paradigm for the treatment of retinal diseases as vorolanib, the active drug in DURAVYU, acts through intracellular inhibition of all VEGF receptors, platelet-derived growth factor (PDGF) receptor, and pro-inflammatory interleukin 6 (IL-6)/JAK1 signaling. Vorolanib has also demonstrated neuroprotection in an in-vivo model of retinal detachment.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DURAVYU is being evaluated in Phase 3 clinical trials for the potential treatment of wet AMD and DME, the two largest retinal disease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Enrollment in the pivotal Phase 3 clinical trials for wet AMD is complete with data expected beginning in mid-2026. The first patients were dosed in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DME trials in February 2026 with enrollment completion expected in Q3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we announced the appointment of Michael Campbell as Chief Commercial Officer.</w:t>
      </w:r>
    </w:p>
    <w:p>
      <w:pPr>
        <w:spacing w:after="0" w:line="27"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2026, we reached an agreement in principle with the DOJ to settle matters related to the DOJ investigation into certain of our sales, marketing and promotional practices as pertain to DEXYCU during the period for which we commercialized this product. The agreement in principle is for a payment of approximately $4.7 million plus interest (exclusive of attorneys’ fees payable by us to counsel for relators in the qui tam action which are expected to be at or about $0.2 million), with such agreement in principle subject to our reaching an agreement in principle with the Office of Inspector General of the Department of Health and Human Services (HHS). On February 26, 2026, we reached an agreement in principle with HHS to resolve matters related to the DOJ investigation on terms to include us entering into a corporate integrity agreement and HHS agreeing not to seek our exclusion from participation in Medicare, Medicaid, or other federal health care programs. The agreements in principle are subject to negotiation, completion and execution of appropriate documents resolving these matters, including a settlement agreement and a corporate integrity agreement, which are expected to be finalized in or around the second quarter of 2026.</w:t>
      </w:r>
    </w:p>
    <w:p>
      <w:pPr>
        <w:spacing w:after="0" w:line="1" w:lineRule="exact"/>
        <w:rPr>
          <w:rFonts w:ascii="Times New Roman" w:cs="Times New Roman" w:eastAsia="Times New Roman" w:hAnsi="Times New Roman"/>
          <w:sz w:val="17"/>
          <w:szCs w:val="17"/>
          <w:color w:val="auto"/>
        </w:rPr>
      </w:pPr>
    </w:p>
    <w:p>
      <w:pPr>
        <w:ind w:left="760" w:right="20" w:hanging="378"/>
        <w:spacing w:after="0" w:line="25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2026, we filed a complaint against Ocular Therapeutix, Inc. (“Ocular”) in the Middlesex County Superior Court for the Commonwealth of Massachusetts (the “Complaint”). The Complaint alleges, among other things, Ocular's dissemination of false or misleading representations of fact concerning our company and the clinical results of our lead product candidate, DURAVYU™ (vorolanib intravitreal insert). The Complaint asserts several causes of action against Ocular, including defamation, commercial disparagement, violation of Mass. Gen. L. c. 93A, §§ 2 and 11, and tortious interference with advantageous business relations. The Company is seeking injunctive relief preventing Defendant from further disseminating the false or misleading representations of fact, requiring its public retraction of the false and misleading statements, monetary damages, attorneys’ fees and costs, and such other relief that the court deems just and proper.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Highlights</w:t>
      </w:r>
    </w:p>
    <w:p>
      <w:pPr>
        <w:spacing w:after="0" w:line="121"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2026, our first US patent for DURAVYU was issued, as US Patent No. 12,551,368, with an expiration date in 2043.</w:t>
      </w:r>
    </w:p>
    <w:p>
      <w:pPr>
        <w:spacing w:after="0" w:line="27" w:lineRule="exact"/>
        <w:rPr>
          <w:rFonts w:ascii="Times New Roman" w:cs="Times New Roman" w:eastAsia="Times New Roman" w:hAnsi="Times New Roman"/>
          <w:sz w:val="18"/>
          <w:szCs w:val="18"/>
          <w:color w:val="auto"/>
        </w:rPr>
      </w:pPr>
    </w:p>
    <w:p>
      <w:pPr>
        <w:ind w:left="760" w:right="60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 2026, we announced the first patients dosed in both Phase 3 COMO and CAPRI global clinical trials of DURAVYU for the treatment of DME.</w:t>
      </w:r>
    </w:p>
    <w:p>
      <w:pPr>
        <w:ind w:left="760" w:right="62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2026, we presented new preclinical data at the Association for Research in Vision and Ophthalmology (ARVO) 2026 Annual Meeting that further demonstrates vorolanib’s inhibition of pro-inflammatory IL-6 signaling.</w:t>
      </w:r>
    </w:p>
    <w:p>
      <w:pPr>
        <w:ind w:left="1500" w:right="220" w:hanging="37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Vorolanib was identified as a potent inhibitor of JAK1, a critical transducer of IL-6 signaling, through extensive in vitro and in vivo studies.</w:t>
      </w:r>
    </w:p>
    <w:p>
      <w:pPr>
        <w:ind w:left="1500" w:right="120" w:hanging="37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These data further highlight DURAVYU's multi-mechanism of action and its potential to bring a synergistic anti-inflammatory effect to the established VEGF receptors and PDGF receptor inhibition for treatment of wet AMD and DME.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that we make certain estimates, judgments, and assumptions that affect the reported amounts of assets, liabilities, revenues, and expenses. We base our estimates, judgments, and assumptions on historical experience, anticipated results, and trends, and on various other factors that we believe are reasonable under the circumstances at the time. By their nature, these estimates, judgments, and assumptions are subject to an inherent degree of uncertainty. Actual results may differ from our estimates under different assumptions or conditions. In our Annual Report on Form 10-K for the fiscal year ended December 31, 2025, we set forth our critical accounting policies and estimates, which included revenue recognition and recognition of expense in outsourced clinical trial agreements. See Note 2 of the notes to our unaudited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condensed consolidated financial statements contained in this Quarterly Report on Form 10-Q for a description of our accounting policies and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sales, net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License and collaboration agreements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(10,961)</w:t>
            </w: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Royalty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(12,548)</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(23,757)</w:t>
            </w: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(38,389)</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(1,298)</w:t>
            </w: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(39,687)</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(84,832)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(45,195)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(39,637)</w:t>
            </w: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5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4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4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85,999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69,767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16,232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-2219960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-2219960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-2219960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-2219960</wp:posOffset>
            </wp:positionV>
            <wp:extent cx="1117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-1379220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-1379220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-1379220</wp:posOffset>
            </wp:positionV>
            <wp:extent cx="1117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-805180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-805180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-805180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-805180</wp:posOffset>
            </wp:positionV>
            <wp:extent cx="111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-496570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-496570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-496570</wp:posOffset>
            </wp:positionV>
            <wp:extent cx="111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-187960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-170815</wp:posOffset>
            </wp:positionV>
            <wp:extent cx="1117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02"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Product sales, net decreased by $0.2 million, or 35%, to $0.5 million for the three months ended March 31, 2026 compared to the same period the prior year. This decrease was primarily attributable to the termination of the ANI commercial supply agreement (CSA) in the second quarter of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Agreement</w:t>
      </w:r>
    </w:p>
    <w:p>
      <w:pPr>
        <w:spacing w:after="0" w:line="18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License and collaboration agreement revenue decreased by $11.0 million, or 99%, to $0.1 million for the three months ended March 31, 2026 compared to the same period the prior year. This decrease was primarily driven by the recognition of remaining deferred revenue related to our 2023 agreement for the license of YUTIQ® product rights in the second quarter of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Royalty income decreased by $12.5 million, or 99%, to $0.1 million for the three months ended March 31, 2026 compared to the same period the prior year. This decrease was due to the termination of the SWK royalty purchase agreement (RPA) on March 18,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Cost of sales decreased by $0.3 million, or 34%, to $0.5 million for the three months ended March 31, 2026 compared to the same period the prior year. This decrease was primarily attributable to lower commercial product sales year over year.</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77"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96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DURAVYU</w:t>
            </w: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direct research and development</w:t>
            </w:r>
          </w:p>
        </w:tc>
        <w:tc>
          <w:tcPr>
            <w:tcW w:w="9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Personnel (including stock based compensation)</w:t>
            </w:r>
          </w:p>
        </w:tc>
        <w:tc>
          <w:tcPr>
            <w:tcW w:w="9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Facilities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72,148</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-153670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$13.6 million, or 23%, to $72.1 million for the three months ended March 31, 2026 compared to the same period the prior year. This increase was primarily attributable to ongoing DURAVYU Phase 3 clinical trials for wet AMD and DME and scale-up of the Northbridge commercial manufacturing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Sales and marketing expenses remained consistent and immaterial for the three months ended March 31, 2026 compared to the same period the prior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or 10%, to $15.2 million for the three months ended March 31, 2026 compared to the same period the prior year. This increase was primarily attributable to increased personnel costs, including non-cash stock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w:t>
      </w:r>
    </w:p>
    <w:p>
      <w:pPr>
        <w:spacing w:after="0" w:line="18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income decreased by $1.3 million, or 36%, to $2.3 million for the three months ended March 31, 2026 compared to the same period the prior year. This decrease was primarily driven by lower cash available for investment in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had a history of operating losses and an absence of significant recurring cash inflows from revenue, and at March 31, 2026 we had a total accumulated deficit of $1,189.8 million. Our operations have been financed primarily from sales of our equity securities, issuance of debt and a combination of license fees, milestone payments, royalty income and other fees received from collaboration partners.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August 2020, we entered into an at-the-market facility (the ATM Facility) with Cantor Fitzgerald &amp; Co (Cantor). Pursuant to the ATM Facility, we may, at our option, offer and sell shares of its common stock from time to time, through or to Cantor, acting as sales agent. We will pay Cantor a commission of 3.0% of the gross proceeds from any future sales of such shares. During the three months ended March 31, 2026 and 2025, we did not sell any shares of our common stock under our ATM offering facility.</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At March 31, 2026, we had cash, cash equivalents, and investments in marketable securities of $222.5 million. We expect that our cash and investments in marketable securities will enable us to fund our operations into the fourth quarter of 2027. Due to the difficulty and uncertainty associated with the design and implementation of clinical trials, we will continue to assess our cash and cash equivalents, investments in marketable securities, and future funding requirements. However, there is no assurance that additional funding will be achieved and that we will succeed in our future operations. We expect to continue to incur substantial additional operating losses for at least the next several years as we continue to develop our product candidates and seek marketing approval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22" w:name="page23"/>
    <w:bookmarkEnd w:id="22"/>
    <w:p>
      <w:pPr>
        <w:ind w:right="300"/>
        <w:spacing w:after="0" w:line="266" w:lineRule="auto"/>
        <w:rPr>
          <w:sz w:val="20"/>
          <w:szCs w:val="20"/>
          <w:color w:val="auto"/>
        </w:rPr>
      </w:pPr>
      <w:r>
        <w:rPr>
          <w:rFonts w:ascii="Times New Roman" w:cs="Times New Roman" w:eastAsia="Times New Roman" w:hAnsi="Times New Roman"/>
          <w:sz w:val="18"/>
          <w:szCs w:val="18"/>
          <w:color w:val="auto"/>
        </w:rPr>
        <w:t>subject to obtaining such approval, the eventual commercialization of our product candidates. If we obtain marketing approval for any of our product candidates, we will incur significant sales, marketing, and manufacturing expenses. We also expect to continue to incur significant costs to comply with corporate governance, internal controls, and similar requirements associated with operating as a public reporting company.</w:t>
      </w:r>
    </w:p>
    <w:p>
      <w:pPr>
        <w:spacing w:after="0" w:line="149"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Actual cash requirements could differ from management’s projections due to many factors including additional investments in research and development programs, clinical trial expenses for DURAVYU, competing technological and market developments and the costs of any strategic acquisitions and/or development of complementary business opportunities.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of additional capital we will require will be influenced by many factors, including, but not limited to:</w:t>
      </w:r>
    </w:p>
    <w:p>
      <w:pPr>
        <w:spacing w:after="0" w:line="131"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scope, progress, results, and costs of clinical trials of DURAVYU, as a sustained delivery intravitreal treatment for wet AMD and DME;</w:t>
      </w:r>
    </w:p>
    <w:p>
      <w:pPr>
        <w:spacing w:after="0" w:line="26"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the timing and clinical development of our product candidates, including DURAVYU;</w:t>
      </w:r>
    </w:p>
    <w:p>
      <w:pPr>
        <w:spacing w:after="0" w:line="21" w:lineRule="exact"/>
        <w:rPr>
          <w:rFonts w:ascii="Arial" w:cs="Arial" w:eastAsia="Arial" w:hAnsi="Arial"/>
          <w:sz w:val="18"/>
          <w:szCs w:val="18"/>
          <w:b w:val="1"/>
          <w:bCs w:val="1"/>
          <w:color w:val="auto"/>
        </w:rPr>
      </w:pPr>
    </w:p>
    <w:p>
      <w:pPr>
        <w:ind w:left="760" w:hanging="378"/>
        <w:spacing w:after="0" w:line="272" w:lineRule="auto"/>
        <w:tabs>
          <w:tab w:leader="none" w:pos="760" w:val="left"/>
        </w:tabs>
        <w:numPr>
          <w:ilvl w:val="0"/>
          <w:numId w:val="22"/>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the duration and outcome of a potential negotiated settlement with the U.S. government related to the DOJ investigation, including any additional undertakings that the DOJ or HHS requires us to pursue in connection with such negotiated resolution, such as a corporate integrity agreement;</w:t>
      </w:r>
    </w:p>
    <w:p>
      <w:pPr>
        <w:spacing w:after="0" w:line="1" w:lineRule="exact"/>
        <w:rPr>
          <w:rFonts w:ascii="Arial" w:cs="Arial" w:eastAsia="Arial" w:hAnsi="Arial"/>
          <w:sz w:val="17"/>
          <w:szCs w:val="17"/>
          <w:b w:val="1"/>
          <w:bCs w:val="1"/>
          <w:color w:val="auto"/>
        </w:rPr>
      </w:pPr>
    </w:p>
    <w:p>
      <w:pPr>
        <w:ind w:left="760" w:right="440" w:hanging="378"/>
        <w:spacing w:after="0" w:line="257" w:lineRule="auto"/>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and to what extent we internally fund, whether and when we initiate, and how we conduct additional pipeline product development programs;</w:t>
      </w:r>
    </w:p>
    <w:p>
      <w:pPr>
        <w:spacing w:after="0" w:line="1"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payments we receive under any new collaboration agreements or payments expected from existing agreements;</w:t>
      </w:r>
    </w:p>
    <w:p>
      <w:pPr>
        <w:spacing w:after="0" w:line="21"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and when we are able to enter into strategic arrangements for our products or product candidates and the nature of those arrangements;</w:t>
      </w:r>
    </w:p>
    <w:p>
      <w:pPr>
        <w:spacing w:after="0" w:line="21"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costs involved in preparing, filing, prosecuting, maintaining, defending, and enforcing any patent claims;</w:t>
      </w:r>
    </w:p>
    <w:p>
      <w:pPr>
        <w:spacing w:after="0" w:line="21"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costs and timing to implement corrective and preventive actions required by the Warning Letter to the satisfaction of the FDA;</w:t>
      </w:r>
    </w:p>
    <w:p>
      <w:pPr>
        <w:spacing w:after="0" w:line="21"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our operating plan, resulting in increases or decreases in our need for capital; and</w:t>
      </w:r>
    </w:p>
    <w:p>
      <w:pPr>
        <w:spacing w:after="0" w:line="21" w:lineRule="exact"/>
        <w:rPr>
          <w:rFonts w:ascii="Arial" w:cs="Arial" w:eastAsia="Arial" w:hAnsi="Arial"/>
          <w:sz w:val="18"/>
          <w:szCs w:val="18"/>
          <w:b w:val="1"/>
          <w:bCs w:val="1"/>
          <w:color w:val="auto"/>
        </w:rPr>
      </w:pPr>
    </w:p>
    <w:p>
      <w:pPr>
        <w:ind w:left="760" w:hanging="378"/>
        <w:spacing w:after="0"/>
        <w:tabs>
          <w:tab w:leader="none" w:pos="7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views on the availability, timing, and desirability of raising capital.</w:t>
      </w:r>
    </w:p>
    <w:p>
      <w:pPr>
        <w:spacing w:after="0" w:line="1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expect to seek additional funding to sustain our future operations and while we have successfully raised capital in the past, the ability to raise capital in future periods is not assured. We do not know if additional capital will be available when needed or on terms favorable to us or our stockholders. Collaboration, licensing or other agreements may not be available on favorable terms, or at all. If we seek to sell our equity securities, we do not know whether and to what extent we will be able to do so, or on what terms. If available, additional equity financing may be dilutive to stockholders, debt financing may involve restrictive covenants or other unfavorable terms and dilute our existing stockholders’ equity, and funding through collaboration, licensing or other commercial agreements may be on unfavorable terms, including requiring us to relinquish rights to certain of our technologies or products. If adequate financing is not available if and when needed, we may delay, reduce the scope of, or eliminate research or development programs, if any, postpone or cancel the pursuit of product candidates, or otherwise significantly curtail our operations to reduce our cash requirements and extend our capital.</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condensed consolidated statements of historical cash flows are summarized as follows (in thousands):</w:t>
      </w:r>
    </w:p>
    <w:p>
      <w:pPr>
        <w:spacing w:after="0" w:line="34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4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(84,832)</w:t>
            </w:r>
          </w:p>
        </w:tc>
        <w:tc>
          <w:tcPr>
            <w:tcW w:w="9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(45,195)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(7,213)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(14,509)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Other adjustments to reconcile net loss to cash flows from</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7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(80,549)</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(53,120)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(27,429)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020" w:type="dxa"/>
            <w:vAlign w:val="bottom"/>
          </w:tcPr>
          <w:p>
            <w:pPr>
              <w:spacing w:after="0" w:line="183" w:lineRule="exact"/>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2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59,054</w:t>
            </w:r>
          </w:p>
        </w:tc>
        <w:tc>
          <w:tcPr>
            <w:tcW w:w="180" w:type="dxa"/>
            <w:vAlign w:val="bottom"/>
          </w:tcPr>
          <w:p>
            <w:pPr>
              <w:spacing w:after="0"/>
              <w:rPr>
                <w:sz w:val="15"/>
                <w:szCs w:val="15"/>
                <w:color w:val="auto"/>
              </w:rPr>
            </w:pPr>
          </w:p>
        </w:tc>
        <w:tc>
          <w:tcPr>
            <w:tcW w:w="9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39,525</w:t>
            </w:r>
          </w:p>
        </w:tc>
        <w:tc>
          <w:tcPr>
            <w:tcW w:w="16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(2,614)</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(951)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-334010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-316865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-334010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-316865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-334010</wp:posOffset>
            </wp:positionV>
            <wp:extent cx="596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-316865</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3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Operating cash outflows for the three months ended March 31, 2026 totaled $80.5 million primarily due to our net loss of $84.8 million reduced by $11.5 million of non-cash expenses, which was primarily attributable to $11.6 million of stock-based compensation. We incurred cash outflows of $7.2 million in other working capital adjustments driven primarily by increased prepaid clinical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3" w:name="page24"/>
    <w:bookmarkEnd w:id="23"/>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Operating cash outflows for the three months ended March 31, 2025 totaled $53.1 million primarily due to our net loss of $45.2 million reduced by $6.6 million of non-cash expenses, which included $7.8 million of stock-based compensation, partially offset by $1.7 million for amortization of discount on available for sale of marketable securities. We incurred cash outflows related to changes in working capital of $14.5 million, which included $23.5 million of deferred revenue related to the agreement to license YUTIQ® product rights to ANI offset by $9.0 million in other working capital adjustments.</w:t>
      </w:r>
    </w:p>
    <w:p>
      <w:pPr>
        <w:spacing w:after="0" w:line="15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$60.1 million of net cash was provided by investing activities from the sales of marketable securities, offset by $1.0 million used for the purchase of property and equipment.</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$39.8 million of net cash was provided by investing activities from the sales of marketable securities, and $0.3 million was used for the purchase of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totaled $2.6 million and consisted mainly of the following: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used for the settlement of stock units to satisfy statutory tax withholding</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used for payment of equity issue costs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provided by the exercise of stock options and employee stock purchase plan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totaled $1.0 million and consisted mainly of the following: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used for the settlement of stock units to satisfy statutory tax withholding</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used for payment of equity issue costs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provided by the exercise of stock options and employee stock purchase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under this item.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2026. The term "disclosure controls and procedures," as defined in Rules 13a-15(e) and 15d-15(e) under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particularly during the period in which this Quarterly Report on Form 10-Q was being prepared.</w:t>
      </w:r>
    </w:p>
    <w:p>
      <w:pPr>
        <w:spacing w:after="0" w:line="1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its desired objectives, and our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covered by this Quarterly Report on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DOJ Subpoena</w:t>
      </w:r>
    </w:p>
    <w:p>
      <w:pPr>
        <w:spacing w:after="0" w:line="187" w:lineRule="exact"/>
        <w:rPr>
          <w:sz w:val="20"/>
          <w:szCs w:val="20"/>
          <w:color w:val="auto"/>
        </w:rPr>
      </w:pPr>
    </w:p>
    <w:p>
      <w:pPr>
        <w:jc w:val="both"/>
        <w:ind w:right="180" w:firstLine="509"/>
        <w:spacing w:after="0" w:line="239" w:lineRule="auto"/>
        <w:rPr>
          <w:sz w:val="20"/>
          <w:szCs w:val="20"/>
          <w:color w:val="auto"/>
        </w:rPr>
      </w:pPr>
      <w:r>
        <w:rPr>
          <w:rFonts w:ascii="Times New Roman" w:cs="Times New Roman" w:eastAsia="Times New Roman" w:hAnsi="Times New Roman"/>
          <w:sz w:val="18"/>
          <w:szCs w:val="18"/>
          <w:color w:val="auto"/>
        </w:rPr>
        <w:t>As previously reported, in August 2022, we received a subpoena from the U.S. Attorney’s Office for the District of Massachusetts (DOJ), seeking production of documents related to sales, marketing, and promotional practices, including as pertain to DEXYCU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which we commercialized from 2019 to 2023 (the “DOJ Subpoena”). More information pertaining to the DOJ Subpoena can be found in </w:t>
      </w:r>
      <w:r>
        <w:rPr>
          <w:rFonts w:ascii="Times New Roman" w:cs="Times New Roman" w:eastAsia="Times New Roman" w:hAnsi="Times New Roman"/>
          <w:sz w:val="18"/>
          <w:szCs w:val="18"/>
          <w:i w:val="1"/>
          <w:iCs w:val="1"/>
          <w:color w:val="auto"/>
        </w:rPr>
        <w:t>Note 12. Contingencies</w:t>
      </w:r>
      <w:r>
        <w:rPr>
          <w:rFonts w:ascii="Times New Roman" w:cs="Times New Roman" w:eastAsia="Times New Roman" w:hAnsi="Times New Roman"/>
          <w:sz w:val="18"/>
          <w:szCs w:val="18"/>
          <w:color w:val="auto"/>
        </w:rPr>
        <w:t>, to the Notes to Consolidated Financial Statements (Part I, Item 1 of this Quarterly Report on Form 10-Q).</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Ocular Therapeutix, Inc.</w:t>
      </w:r>
    </w:p>
    <w:p>
      <w:pPr>
        <w:spacing w:after="0" w:line="20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March 20, 2026, we filed a complaint (the “Complaint”) against Ocular Therapeutix, Inc. (“Ocular”) in the Middlesex County Superior Court for the Commonwealth of Massachusetts (the “Court”). The Complaint alleges, among other things, Ocular's dissemination of false or misleading representations of fact concerning our company and the clinical results of our lead product candidate, DURAVYU™ (vorolanib intravitreal insert). The Complaint asserts several causes of action against Ocular, including defamation, commercial disparagement, violation of Mass. Gen. L. c. 93A, §§ 2 and 11, and tortious interference with advantageous business relations. We are seeking injunctive relief preventing Ocular from further disseminating the false or misleading representations of fact, requiring its public retraction of the false and misleading statements, monetary damages in the amount to be determined at trial, attorneys’ fees and costs, and such other relief that the court deems just and proper. Ocular filed its answer on April 13, 2026, seeking judgment in its favor, dismissal with prejudice of all claims, award of attorneys’ fees, costs, and expenses incurred in connection with the action, and such other and further relief as the court deems appropriate. On April 13, 2026, the Court declined to impose a temporary restraining order, but convened a preliminary injunction hearing that began on May 5, 2026 and is scheduled to continue on June 10,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This section augments and updates certain risk factors disclosed in Item 1A of Part I of our Annual Report on Form 10-K for the year ended December 31, 2025 (the Annual Report). The following risk factors should be read together with the other risk factors disclosed in the Annual Report. In addition to the other information in this Quarterly Report on Form 10-Q, all of the risk factors should be carefully considered in evaluating us and our common stock. Any of these risks, many of which are beyond our control, could materially and adversely affect our financial condition, results of operations or cash flows, or cause our actual results to differ materially from those projected in any forward-looking statements. We may also face other risks and uncertainties that are not presently known, are not currently believed to be material, or are not identified below because they are common to all businesses. Past financial performance may not be a reliable indicator of future performance, and historical trends should not be used to anticipate results or trends in future periods. For more information, see “Note Regarding Forward-Looking Statements” in this Quarterly Report on 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highly volatile, and purchasers of our common stock could incur substantial losses.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price of our common stock is highly volatile and may be affected by developments directly affecting our business, as well as by developments out of our control or not specific to us. The pharmaceutical and biotechnology industries, in particular, and the stock market generally, are vulnerable to abrupt changes in investor sentiment. Prices of securities and trading volumes of companies in the pharmaceutical and biotechnology industries, including ours, can swing dramatically in ways unrelated to, or that bear a disproportionate relationship to, our performance. The price of our common stock and their trading volumes may fluctuate based on a number of factors including, but not limited to:</w:t>
      </w:r>
    </w:p>
    <w:p>
      <w:pPr>
        <w:spacing w:after="0" w:line="15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their results, and other product and technological developments and innovations;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progress of our commercialization efforts;</w:t>
      </w:r>
    </w:p>
    <w:p>
      <w:pPr>
        <w:spacing w:after="0" w:line="9" w:lineRule="exact"/>
        <w:rPr>
          <w:rFonts w:ascii="Times New Roman" w:cs="Times New Roman" w:eastAsia="Times New Roman" w:hAnsi="Times New Roman"/>
          <w:sz w:val="18"/>
          <w:szCs w:val="18"/>
          <w:color w:val="auto"/>
        </w:rPr>
      </w:pPr>
    </w:p>
    <w:p>
      <w:pPr>
        <w:ind w:left="760" w:right="20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and other domestic and international governmental regulatory actions, receipt and timing of approvals of our product candidates, and any denials and withdrawal of approvals;</w:t>
      </w:r>
    </w:p>
    <w:p>
      <w:pPr>
        <w:ind w:left="760" w:right="38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scope, and outcome of any governmental inquiries or investigations, including the ongoing DOJ investigation for which we are seeking a final negotiated resolution;</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including the commercialization of new products in our markets by our competitors;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760" w:right="320" w:hanging="378"/>
        <w:spacing w:after="0" w:line="257"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interviews, presentations, publications or other communications by third parties, including competitors, whether accurate or inaccurate, that may be perceived as negative with respect to us, our business, our product candidates, our preclinical and clinical data, or our prospects;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with respect to treatment of the diseases targeted by our product candidates;</w:t>
      </w:r>
    </w:p>
    <w:p>
      <w:pPr>
        <w:spacing w:after="0" w:line="9" w:lineRule="exact"/>
        <w:rPr>
          <w:rFonts w:ascii="Times New Roman" w:cs="Times New Roman" w:eastAsia="Times New Roman" w:hAnsi="Times New Roman"/>
          <w:sz w:val="18"/>
          <w:szCs w:val="18"/>
          <w:color w:val="auto"/>
        </w:rPr>
      </w:pPr>
    </w:p>
    <w:p>
      <w:pPr>
        <w:ind w:left="760" w:right="92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and actions by, our collaborative partners, including execution, amendment and termination of agreements, achievement of milestones and receipt of payments;</w:t>
      </w: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collaborative partners in marketing any approved products and the amount and timing of payments to us;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and our financial and operating results;</w:t>
      </w:r>
    </w:p>
    <w:p>
      <w:pPr>
        <w:spacing w:after="0" w:line="9"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with respect to pricing, reimbursement and coverage, and changes in reimbursement policies or other practices relating to our products or the pharmaceutical or biotechnology industries generally;</w:t>
      </w:r>
    </w:p>
    <w:p>
      <w:pPr>
        <w:ind w:left="760" w:right="62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exceeding or failing to meet analysts’ or investors’ expectations, and changes in evaluations and recommendations by securities analysts;</w:t>
      </w: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social media platforms by customers, or investors;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upon the exercise of currently outstanding options or warrants or upon the settlement of stock units;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substantial amounts of shares of our common stock in the market;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industry and market conditions, changes or trends;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unrelated to us or the pharmaceutical and biotechnology industries.</w:t>
      </w:r>
    </w:p>
    <w:p>
      <w:pPr>
        <w:spacing w:after="0" w:line="16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low trading volume in our common stock may increase their price volatility. Holders of our common stock may not be able to liquidate their positions at the desired time or price.</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initiated legal proceedings and may in the future become subject to litigation, which could harm our business, financial condition, stock price and reputation.</w:t>
      </w:r>
    </w:p>
    <w:p>
      <w:pPr>
        <w:spacing w:after="0" w:line="13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involved, and may become involved in the future, in disputes and other legal proceedings that could be costly and time-consuming to prosecute or defend and result in unfavorable outcomes, which may have a material adverse effect on our business, operating results and financial condition, and negatively affect the price of our common stock. For example, on March 20, 2026, we filed a complaint against Ocular Therapeutix, Inc. (“Ocular”), in the Middlesex County Superior Court for the Commonwealth of Massachusetts. The complaint alleges, among other things, Ocular’s dissemination of false or misleading representations of fact concerning our company and the clinical results of DURAVYU, our lead product candidate (the “Ocular Litigation”). The complaint asserts several causes of action against Ocular, including defamation, commercial disparagement, violation of Mass. Gen. L. c. 93A, §§ 2 and 11, and tortious interference with advantageous business relations. We are seeking injunctive relief preventing Ocular from further disseminating the false or misleading representations of fact, requiring its public retraction of the false and misleading statements, monetary damages in the amount to be determined at trial, attorneys’ fees and costs, and such other relief that the court deems just and proper. Ocular filed its answer on April 13, 2026, seeking judgment in its favor, dismissal with prejudice of all claims, award of attorneys’ fees, costs, and expenses incurred in connection with the action, and such other and further relief as the court deems appropriate. We cannot predict whether the Ocular Litigation or any future legal matter will be resolved favorably for us. Legal proceedings in general, regardless of their merits or their ultimate outcomes, can be expensive and time-consuming to bring or defend against, requiring us to expend significant resources and divert the effort and attention of our management and other personnel from our business operations. The Ocular Litigation and any future litigation may adversely affect our business, results of operations, financial condition, prospects, and stock price. Furthermore, publicity surrounding legal proceedings, even if resolved favorably for us, could result in additional legal proceedings, damage to our reputation and cause volatility in our stock price.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permits officers and directors to adopt written trading plans, known as “Rule 10b5-1 trading arrangements”, as such term defined in Item 408(a) of Regulation S-K for the purchase or sale of the Company's securities, which are intended to satisfy the affirmative defense conditions of Rule 10b5-1(c) under the Exchange Act. During the three months ended March 31, 2026, none of our executive officers and directors adopted, modified or terminated Rule 10b5-1 trading arrangements for the purchase or sale of our common stock.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gridSpan w:val="3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2"/>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2.1#</w:t>
            </w:r>
          </w:p>
        </w:tc>
        <w:tc>
          <w:tcPr>
            <w:tcW w:w="54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Product Rights Agreement, dated May 17, 2023, by and between EyePoint</w:t>
              </w:r>
            </w:hyperlink>
          </w:p>
        </w:tc>
        <w:tc>
          <w:tcPr>
            <w:tcW w:w="76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5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Pharmaceuticals, Inc. and Alimera Sciences, Inc.</w:t>
              </w:r>
            </w:hyperlink>
          </w:p>
        </w:tc>
        <w:tc>
          <w:tcPr>
            <w:tcW w:w="2620" w:type="dxa"/>
            <w:vAlign w:val="bottom"/>
            <w:gridSpan w:val="21"/>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3.1</w:t>
            </w:r>
          </w:p>
        </w:tc>
        <w:tc>
          <w:tcPr>
            <w:tcW w:w="3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Certificate of Incorporation of pSivida Corp.</w:t>
              </w:r>
            </w:hyperlink>
          </w:p>
        </w:tc>
        <w:tc>
          <w:tcPr>
            <w:tcW w:w="20" w:type="dxa"/>
            <w:vAlign w:val="bottom"/>
            <w:tcBorders>
              <w:bottom w:val="single" w:sz="8" w:color="0000EE"/>
            </w:tcBorders>
          </w:tcPr>
          <w:p>
            <w:pPr>
              <w:spacing w:after="0"/>
              <w:rPr>
                <w:sz w:val="24"/>
                <w:szCs w:val="24"/>
                <w:color w:val="auto"/>
              </w:rPr>
            </w:pPr>
          </w:p>
        </w:tc>
        <w:tc>
          <w:tcPr>
            <w:tcW w:w="2940" w:type="dxa"/>
            <w:vAlign w:val="bottom"/>
            <w:gridSpan w:val="24"/>
          </w:tcPr>
          <w:p>
            <w:pPr>
              <w:spacing w:after="0"/>
              <w:rPr>
                <w:sz w:val="24"/>
                <w:szCs w:val="24"/>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3.2</w:t>
            </w:r>
          </w:p>
        </w:tc>
        <w:tc>
          <w:tcPr>
            <w:tcW w:w="56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Certificate of Amendment of the Certificate of Incorporation of pSivida Corp.</w:t>
              </w:r>
            </w:hyperlink>
          </w:p>
        </w:tc>
        <w:tc>
          <w:tcPr>
            <w:tcW w:w="560" w:type="dxa"/>
            <w:vAlign w:val="bottom"/>
            <w:gridSpan w:val="7"/>
          </w:tcPr>
          <w:p>
            <w:pPr>
              <w:spacing w:after="0"/>
              <w:rPr>
                <w:sz w:val="24"/>
                <w:szCs w:val="24"/>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3.3</w:t>
            </w:r>
          </w:p>
        </w:tc>
        <w:tc>
          <w:tcPr>
            <w:tcW w:w="54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Certificate of Correction to Certificate of Amendment of the Certificate of</w:t>
              </w:r>
            </w:hyperlink>
          </w:p>
        </w:tc>
        <w:tc>
          <w:tcPr>
            <w:tcW w:w="7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180" w:type="dxa"/>
            <w:vAlign w:val="bottom"/>
            <w:gridSpan w:val="38"/>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Incorporation of pSivida Corp.</w:t>
              </w:r>
            </w:hyperlink>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3.4</w:t>
            </w:r>
          </w:p>
        </w:tc>
        <w:tc>
          <w:tcPr>
            <w:tcW w:w="60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Certificate of Amendment of Certificate of Incorporation, as amended, of EyePoint</w:t>
              </w:r>
            </w:hyperlink>
          </w:p>
        </w:tc>
        <w:tc>
          <w:tcPr>
            <w:tcW w:w="14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180" w:type="dxa"/>
            <w:vAlign w:val="bottom"/>
            <w:gridSpan w:val="38"/>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Pharmaceuticals, Inc.</w:t>
              </w:r>
            </w:hyperlink>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3.5</w:t>
            </w:r>
          </w:p>
        </w:tc>
        <w:tc>
          <w:tcPr>
            <w:tcW w:w="56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Certificate of Amendment of the Certificate of Incorporation, as amended, of</w:t>
              </w:r>
            </w:hyperlink>
          </w:p>
        </w:tc>
        <w:tc>
          <w:tcPr>
            <w:tcW w:w="58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EyePoint Pharmaceuticals, Inc.</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32"/>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3.6</w:t>
            </w:r>
          </w:p>
        </w:tc>
        <w:tc>
          <w:tcPr>
            <w:tcW w:w="56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Certificate of Amendment of the Certificate of Incorporation, as amended, of</w:t>
              </w:r>
            </w:hyperlink>
          </w:p>
        </w:tc>
        <w:tc>
          <w:tcPr>
            <w:tcW w:w="58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EyePoint Pharmaceuticals, Inc.</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32"/>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3.7</w:t>
            </w:r>
          </w:p>
        </w:tc>
        <w:tc>
          <w:tcPr>
            <w:tcW w:w="60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Certificate of Amendment to Certificate of Incorporation, as amended, of EyePoint,</w:t>
              </w:r>
            </w:hyperlink>
          </w:p>
        </w:tc>
        <w:tc>
          <w:tcPr>
            <w:tcW w:w="12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50">
              <w:r>
                <w:rPr>
                  <w:rFonts w:ascii="Times New Roman" w:cs="Times New Roman" w:eastAsia="Times New Roman" w:hAnsi="Times New Roman"/>
                  <w:sz w:val="18"/>
                  <w:szCs w:val="18"/>
                  <w:color w:val="0000FF"/>
                  <w:w w:val="94"/>
                </w:rPr>
                <w:t>Inc.</w:t>
              </w:r>
            </w:hyperlink>
          </w:p>
        </w:tc>
        <w:tc>
          <w:tcPr>
            <w:tcW w:w="20" w:type="dxa"/>
            <w:vAlign w:val="bottom"/>
            <w:tcBorders>
              <w:bottom w:val="single" w:sz="8" w:color="0000EE"/>
            </w:tcBorders>
          </w:tcPr>
          <w:p>
            <w:pPr>
              <w:spacing w:after="0"/>
              <w:rPr>
                <w:sz w:val="17"/>
                <w:szCs w:val="17"/>
                <w:color w:val="auto"/>
              </w:rPr>
            </w:pPr>
          </w:p>
        </w:tc>
        <w:tc>
          <w:tcPr>
            <w:tcW w:w="5880" w:type="dxa"/>
            <w:vAlign w:val="bottom"/>
            <w:gridSpan w:val="36"/>
          </w:tcPr>
          <w:p>
            <w:pPr>
              <w:spacing w:after="0"/>
              <w:rPr>
                <w:sz w:val="17"/>
                <w:szCs w:val="17"/>
                <w:color w:val="auto"/>
              </w:rPr>
            </w:pPr>
          </w:p>
        </w:tc>
      </w:tr>
      <w:tr>
        <w:trPr>
          <w:trHeight w:val="317"/>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3.8</w:t>
            </w:r>
          </w:p>
        </w:tc>
        <w:tc>
          <w:tcPr>
            <w:tcW w:w="6180" w:type="dxa"/>
            <w:vAlign w:val="bottom"/>
            <w:gridSpan w:val="38"/>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By-Laws of EyePoint Pharmaceuticals, Inc.</w:t>
              </w:r>
            </w:hyperlink>
          </w:p>
        </w:tc>
      </w:tr>
      <w:tr>
        <w:trPr>
          <w:trHeight w:val="20"/>
        </w:trPr>
        <w:tc>
          <w:tcPr>
            <w:tcW w:w="1140" w:type="dxa"/>
            <w:vAlign w:val="bottom"/>
          </w:tcPr>
          <w:p>
            <w:pPr>
              <w:spacing w:after="0" w:line="20" w:lineRule="exact"/>
              <w:rPr>
                <w:sz w:val="1"/>
                <w:szCs w:val="1"/>
                <w:color w:val="auto"/>
              </w:rPr>
            </w:pPr>
          </w:p>
        </w:tc>
        <w:tc>
          <w:tcPr>
            <w:tcW w:w="236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4"/>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3.9</w:t>
            </w:r>
          </w:p>
        </w:tc>
        <w:tc>
          <w:tcPr>
            <w:tcW w:w="4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Amendment No. 1 to the By-Laws of EyePoint Pharmaceuticals, Inc.</w:t>
              </w:r>
            </w:hyperlink>
          </w:p>
        </w:tc>
        <w:tc>
          <w:tcPr>
            <w:tcW w:w="1200" w:type="dxa"/>
            <w:vAlign w:val="bottom"/>
            <w:gridSpan w:val="11"/>
          </w:tcPr>
          <w:p>
            <w:pPr>
              <w:spacing w:after="0"/>
              <w:rPr>
                <w:sz w:val="24"/>
                <w:szCs w:val="24"/>
                <w:color w:val="auto"/>
              </w:rPr>
            </w:pPr>
          </w:p>
        </w:tc>
      </w:tr>
      <w:tr>
        <w:trPr>
          <w:trHeight w:val="318"/>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3.10</w:t>
            </w:r>
          </w:p>
        </w:tc>
        <w:tc>
          <w:tcPr>
            <w:tcW w:w="37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Amendment No. 2 to the By-Laws of EyePoint, Inc.</w:t>
              </w:r>
            </w:hyperlink>
          </w:p>
        </w:tc>
        <w:tc>
          <w:tcPr>
            <w:tcW w:w="20" w:type="dxa"/>
            <w:vAlign w:val="bottom"/>
            <w:tcBorders>
              <w:bottom w:val="single" w:sz="8" w:color="0000EE"/>
            </w:tcBorders>
          </w:tcPr>
          <w:p>
            <w:pPr>
              <w:spacing w:after="0"/>
              <w:rPr>
                <w:sz w:val="24"/>
                <w:szCs w:val="24"/>
                <w:color w:val="auto"/>
              </w:rPr>
            </w:pPr>
          </w:p>
        </w:tc>
        <w:tc>
          <w:tcPr>
            <w:tcW w:w="2400" w:type="dxa"/>
            <w:vAlign w:val="bottom"/>
            <w:gridSpan w:val="19"/>
          </w:tcPr>
          <w:p>
            <w:pPr>
              <w:spacing w:after="0"/>
              <w:rPr>
                <w:sz w:val="24"/>
                <w:szCs w:val="24"/>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4.1</w:t>
            </w:r>
          </w:p>
        </w:tc>
        <w:tc>
          <w:tcPr>
            <w:tcW w:w="6180" w:type="dxa"/>
            <w:vAlign w:val="bottom"/>
            <w:gridSpan w:val="38"/>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Specimen Stock Certificate for Common Stock</w:t>
              </w:r>
            </w:hyperlink>
          </w:p>
        </w:tc>
      </w:tr>
      <w:tr>
        <w:trPr>
          <w:trHeight w:val="20"/>
        </w:trPr>
        <w:tc>
          <w:tcPr>
            <w:tcW w:w="1140" w:type="dxa"/>
            <w:vAlign w:val="bottom"/>
          </w:tcPr>
          <w:p>
            <w:pPr>
              <w:spacing w:after="0" w:line="20" w:lineRule="exact"/>
              <w:rPr>
                <w:sz w:val="1"/>
                <w:szCs w:val="1"/>
                <w:color w:val="auto"/>
              </w:rPr>
            </w:pPr>
          </w:p>
        </w:tc>
        <w:tc>
          <w:tcPr>
            <w:tcW w:w="2360" w:type="dxa"/>
            <w:vAlign w:val="bottom"/>
            <w:tcBorders>
              <w:righ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4.2</w:t>
            </w:r>
          </w:p>
        </w:tc>
        <w:tc>
          <w:tcPr>
            <w:tcW w:w="41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Form of Pre-Funded Warrant to Purchase Common Stock</w:t>
              </w:r>
            </w:hyperlink>
          </w:p>
        </w:tc>
        <w:tc>
          <w:tcPr>
            <w:tcW w:w="20" w:type="dxa"/>
            <w:vAlign w:val="bottom"/>
            <w:tcBorders>
              <w:bottom w:val="single" w:sz="8" w:color="0000EE"/>
            </w:tcBorders>
          </w:tcPr>
          <w:p>
            <w:pPr>
              <w:spacing w:after="0"/>
              <w:rPr>
                <w:sz w:val="24"/>
                <w:szCs w:val="24"/>
                <w:color w:val="auto"/>
              </w:rPr>
            </w:pPr>
          </w:p>
        </w:tc>
        <w:tc>
          <w:tcPr>
            <w:tcW w:w="2000" w:type="dxa"/>
            <w:vAlign w:val="bottom"/>
            <w:gridSpan w:val="16"/>
          </w:tcPr>
          <w:p>
            <w:pPr>
              <w:spacing w:after="0"/>
              <w:rPr>
                <w:sz w:val="24"/>
                <w:szCs w:val="24"/>
                <w:color w:val="auto"/>
              </w:rPr>
            </w:pPr>
          </w:p>
        </w:tc>
      </w:tr>
      <w:tr>
        <w:trPr>
          <w:trHeight w:val="318"/>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4.3</w:t>
            </w:r>
          </w:p>
        </w:tc>
        <w:tc>
          <w:tcPr>
            <w:tcW w:w="46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Form of Pre-Funded Warrant to Purchase Common Stock (2025)</w:t>
              </w:r>
            </w:hyperlink>
          </w:p>
        </w:tc>
        <w:tc>
          <w:tcPr>
            <w:tcW w:w="20" w:type="dxa"/>
            <w:vAlign w:val="bottom"/>
            <w:tcBorders>
              <w:bottom w:val="single" w:sz="8" w:color="0000EE"/>
            </w:tcBorders>
          </w:tcPr>
          <w:p>
            <w:pPr>
              <w:spacing w:after="0"/>
              <w:rPr>
                <w:sz w:val="24"/>
                <w:szCs w:val="24"/>
                <w:color w:val="auto"/>
              </w:rPr>
            </w:pPr>
          </w:p>
        </w:tc>
        <w:tc>
          <w:tcPr>
            <w:tcW w:w="1480" w:type="dxa"/>
            <w:vAlign w:val="bottom"/>
            <w:gridSpan w:val="14"/>
          </w:tcPr>
          <w:p>
            <w:pPr>
              <w:spacing w:after="0"/>
              <w:rPr>
                <w:sz w:val="24"/>
                <w:szCs w:val="24"/>
                <w:color w:val="auto"/>
              </w:rPr>
            </w:pPr>
          </w:p>
        </w:tc>
      </w:tr>
      <w:tr>
        <w:trPr>
          <w:trHeight w:val="317"/>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10.1†</w:t>
            </w:r>
          </w:p>
        </w:tc>
        <w:tc>
          <w:tcPr>
            <w:tcW w:w="61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Third Amendment to Employment Agreement, dated March 5, 2026, by and between</w:t>
              </w:r>
            </w:hyperlink>
          </w:p>
        </w:tc>
      </w:tr>
      <w:tr>
        <w:trPr>
          <w:trHeight w:val="196"/>
        </w:trPr>
        <w:tc>
          <w:tcPr>
            <w:tcW w:w="1140" w:type="dxa"/>
            <w:vAlign w:val="bottom"/>
          </w:tcPr>
          <w:p>
            <w:pPr>
              <w:spacing w:after="0"/>
              <w:rPr>
                <w:sz w:val="17"/>
                <w:szCs w:val="17"/>
                <w:color w:val="auto"/>
              </w:rPr>
            </w:pPr>
          </w:p>
        </w:tc>
        <w:tc>
          <w:tcPr>
            <w:tcW w:w="6180" w:type="dxa"/>
            <w:vAlign w:val="bottom"/>
            <w:gridSpan w:val="38"/>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EyePoint, Inc. and Jay S. Duker.</w:t>
              </w:r>
            </w:hyperlink>
          </w:p>
        </w:tc>
      </w:tr>
      <w:tr>
        <w:trPr>
          <w:trHeight w:val="20"/>
        </w:trPr>
        <w:tc>
          <w:tcPr>
            <w:tcW w:w="1140" w:type="dxa"/>
            <w:vAlign w:val="bottom"/>
          </w:tcPr>
          <w:p>
            <w:pPr>
              <w:spacing w:after="0" w:line="20" w:lineRule="exact"/>
              <w:rPr>
                <w:sz w:val="1"/>
                <w:szCs w:val="1"/>
                <w:color w:val="auto"/>
              </w:rPr>
            </w:pPr>
          </w:p>
        </w:tc>
        <w:tc>
          <w:tcPr>
            <w:tcW w:w="2360" w:type="dxa"/>
            <w:vAlign w:val="bottom"/>
            <w:tcBorders>
              <w:right w:val="single" w:sz="8" w:color="0000EE"/>
            </w:tcBorders>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10.2†</w:t>
            </w:r>
          </w:p>
        </w:tc>
        <w:tc>
          <w:tcPr>
            <w:tcW w:w="61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First Amendment to Employment Agreement, dated March 5, 2026, by and between</w:t>
              </w:r>
            </w:hyperlink>
          </w:p>
        </w:tc>
        <w:tc>
          <w:tcPr>
            <w:tcW w:w="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6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EyePoint, Inc. and George O. Elston.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29"/>
          </w:tcPr>
          <w:p>
            <w:pPr>
              <w:spacing w:after="0"/>
              <w:rPr>
                <w:sz w:val="17"/>
                <w:szCs w:val="17"/>
                <w:color w:val="auto"/>
              </w:rPr>
            </w:pPr>
          </w:p>
        </w:tc>
      </w:tr>
      <w:tr>
        <w:trPr>
          <w:trHeight w:val="318"/>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10.3†</w:t>
            </w:r>
          </w:p>
        </w:tc>
        <w:tc>
          <w:tcPr>
            <w:tcW w:w="61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First Amendment to Employment Agreement, dated March 5, 2026, by and between</w:t>
              </w:r>
            </w:hyperlink>
          </w:p>
        </w:tc>
        <w:tc>
          <w:tcPr>
            <w:tcW w:w="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EyePoint, Inc. and Ramiro Ribeiro, M.D., Ph.D.</w:t>
              </w:r>
            </w:hyperlink>
          </w:p>
        </w:tc>
        <w:tc>
          <w:tcPr>
            <w:tcW w:w="20" w:type="dxa"/>
            <w:vAlign w:val="bottom"/>
            <w:tcBorders>
              <w:bottom w:val="single" w:sz="8" w:color="0000EE"/>
            </w:tcBorders>
          </w:tcPr>
          <w:p>
            <w:pPr>
              <w:spacing w:after="0"/>
              <w:rPr>
                <w:sz w:val="17"/>
                <w:szCs w:val="17"/>
                <w:color w:val="auto"/>
              </w:rPr>
            </w:pPr>
          </w:p>
        </w:tc>
        <w:tc>
          <w:tcPr>
            <w:tcW w:w="2680" w:type="dxa"/>
            <w:vAlign w:val="bottom"/>
            <w:gridSpan w:val="22"/>
          </w:tcPr>
          <w:p>
            <w:pPr>
              <w:spacing w:after="0"/>
              <w:rPr>
                <w:sz w:val="17"/>
                <w:szCs w:val="17"/>
                <w:color w:val="auto"/>
              </w:rPr>
            </w:pPr>
          </w:p>
        </w:tc>
      </w:tr>
      <w:tr>
        <w:trPr>
          <w:trHeight w:val="318"/>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31.1*</w:t>
            </w:r>
          </w:p>
        </w:tc>
        <w:tc>
          <w:tcPr>
            <w:tcW w:w="618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and Rule 15d-</w:t>
            </w:r>
          </w:p>
        </w:tc>
      </w:tr>
      <w:tr>
        <w:trPr>
          <w:trHeight w:val="196"/>
        </w:trPr>
        <w:tc>
          <w:tcPr>
            <w:tcW w:w="1140" w:type="dxa"/>
            <w:vAlign w:val="bottom"/>
          </w:tcPr>
          <w:p>
            <w:pPr>
              <w:spacing w:after="0"/>
              <w:rPr>
                <w:sz w:val="17"/>
                <w:szCs w:val="17"/>
                <w:color w:val="auto"/>
              </w:rPr>
            </w:pPr>
          </w:p>
        </w:tc>
        <w:tc>
          <w:tcPr>
            <w:tcW w:w="592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14(a) of the Securities Exchange Act, as amended, as adopted pursuant to Section</w:t>
            </w:r>
          </w:p>
        </w:tc>
        <w:tc>
          <w:tcPr>
            <w:tcW w:w="2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8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0" w:type="dxa"/>
            <w:vAlign w:val="bottom"/>
            <w:tcBorders>
              <w:bottom w:val="single" w:sz="8" w:color="0000EE"/>
            </w:tcBorders>
          </w:tcPr>
          <w:p>
            <w:pPr>
              <w:spacing w:after="0"/>
              <w:rPr>
                <w:sz w:val="17"/>
                <w:szCs w:val="17"/>
                <w:color w:val="auto"/>
              </w:rPr>
            </w:pPr>
          </w:p>
        </w:tc>
        <w:tc>
          <w:tcPr>
            <w:tcW w:w="3320" w:type="dxa"/>
            <w:vAlign w:val="bottom"/>
            <w:gridSpan w:val="27"/>
          </w:tcPr>
          <w:p>
            <w:pPr>
              <w:spacing w:after="0"/>
              <w:rPr>
                <w:sz w:val="17"/>
                <w:szCs w:val="17"/>
                <w:color w:val="auto"/>
              </w:rPr>
            </w:pPr>
          </w:p>
        </w:tc>
      </w:tr>
      <w:tr>
        <w:trPr>
          <w:trHeight w:val="318"/>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31.2*</w:t>
            </w:r>
          </w:p>
        </w:tc>
        <w:tc>
          <w:tcPr>
            <w:tcW w:w="61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 Rule 15d-</w:t>
            </w:r>
          </w:p>
        </w:tc>
      </w:tr>
      <w:tr>
        <w:trPr>
          <w:trHeight w:val="196"/>
        </w:trPr>
        <w:tc>
          <w:tcPr>
            <w:tcW w:w="114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14(a) of the Securities Exchange Act, as amended, as adopted pursuant to Section</w:t>
            </w:r>
          </w:p>
        </w:tc>
        <w:tc>
          <w:tcPr>
            <w:tcW w:w="200" w:type="dxa"/>
            <w:vAlign w:val="bottom"/>
            <w:tcBorders>
              <w:top w:val="single" w:sz="8" w:color="0000FF"/>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8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0" w:type="dxa"/>
            <w:vAlign w:val="bottom"/>
            <w:tcBorders>
              <w:bottom w:val="single" w:sz="8" w:color="0000EE"/>
            </w:tcBorders>
          </w:tcPr>
          <w:p>
            <w:pPr>
              <w:spacing w:after="0"/>
              <w:rPr>
                <w:sz w:val="17"/>
                <w:szCs w:val="17"/>
                <w:color w:val="auto"/>
              </w:rPr>
            </w:pPr>
          </w:p>
        </w:tc>
        <w:tc>
          <w:tcPr>
            <w:tcW w:w="3320" w:type="dxa"/>
            <w:vAlign w:val="bottom"/>
            <w:gridSpan w:val="27"/>
          </w:tcPr>
          <w:p>
            <w:pPr>
              <w:spacing w:after="0"/>
              <w:rPr>
                <w:sz w:val="17"/>
                <w:szCs w:val="17"/>
                <w:color w:val="auto"/>
              </w:rPr>
            </w:pPr>
          </w:p>
        </w:tc>
      </w:tr>
      <w:tr>
        <w:trPr>
          <w:trHeight w:val="318"/>
        </w:trPr>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32.1**</w:t>
            </w:r>
          </w:p>
        </w:tc>
        <w:tc>
          <w:tcPr>
            <w:tcW w:w="60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1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88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1280" w:type="dxa"/>
            <w:vAlign w:val="bottom"/>
            <w:gridSpan w:val="12"/>
          </w:tcPr>
          <w:p>
            <w:pPr>
              <w:spacing w:after="0"/>
              <w:rPr>
                <w:sz w:val="17"/>
                <w:szCs w:val="17"/>
                <w:color w:val="auto"/>
              </w:rPr>
            </w:pPr>
          </w:p>
        </w:tc>
      </w:tr>
      <w:tr>
        <w:trPr>
          <w:trHeight w:val="318"/>
        </w:trPr>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32.2**</w:t>
            </w:r>
          </w:p>
        </w:tc>
        <w:tc>
          <w:tcPr>
            <w:tcW w:w="59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22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18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790"/>
        </w:trPr>
        <w:tc>
          <w:tcPr>
            <w:tcW w:w="1140" w:type="dxa"/>
            <w:vAlign w:val="bottom"/>
          </w:tcPr>
          <w:p>
            <w:pPr>
              <w:spacing w:after="0"/>
              <w:rPr>
                <w:sz w:val="24"/>
                <w:szCs w:val="24"/>
                <w:color w:val="auto"/>
              </w:rPr>
            </w:pPr>
          </w:p>
        </w:tc>
        <w:tc>
          <w:tcPr>
            <w:tcW w:w="4680" w:type="dxa"/>
            <w:vAlign w:val="bottom"/>
            <w:tcBorders>
              <w:top w:val="single" w:sz="8" w:color="0000FF"/>
            </w:tcBorders>
            <w:gridSpan w:val="23"/>
          </w:tcPr>
          <w:p>
            <w:pPr>
              <w:ind w:left="440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 to SEC Filing</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 Filing</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Exhibit</w:t>
            </w:r>
          </w:p>
        </w:tc>
      </w:tr>
      <w:tr>
        <w:trPr>
          <w:trHeight w:val="2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432"/>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05/18/23</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2.1</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8-K12G3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06/19/08</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09/13/17</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04/02/18</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06/27/18</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06/23/20</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12/08/20</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12/08/25</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55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09/18/18</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3.5</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11/06/18</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3.1</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12/08/25</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8-K12G3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06/19/08</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4.1</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11/19/21</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4.1</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10/17/25</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4.1</w:t>
            </w:r>
          </w:p>
        </w:tc>
      </w:tr>
      <w:tr>
        <w:trPr>
          <w:trHeight w:val="33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03/05/26</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10.22(a)</w:t>
            </w:r>
          </w:p>
        </w:tc>
      </w:tr>
      <w:tr>
        <w:trPr>
          <w:trHeight w:val="553"/>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03/05/26</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10.23(a)</w:t>
            </w:r>
          </w:p>
        </w:tc>
      </w:tr>
      <w:tr>
        <w:trPr>
          <w:trHeight w:val="55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03/05/26</w:t>
            </w: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10.24(a)</w:t>
            </w:r>
          </w:p>
        </w:tc>
      </w:tr>
    </w:tbl>
    <w:p>
      <w:pPr>
        <w:sectPr>
          <w:pgSz w:w="11900" w:h="16838" w:orient="portrait"/>
          <w:cols w:equalWidth="0" w:num="2">
            <w:col w:w="7320" w:space="440"/>
            <w:col w:w="3280"/>
          </w:cols>
          <w:pgMar w:left="320" w:top="1197" w:right="539" w:bottom="1440" w:gutter="0" w:footer="0" w:header="0"/>
        </w:sectPr>
      </w:pPr>
    </w:p>
    <w:bookmarkStart w:id="28" w:name="page29"/>
    <w:bookmarkEnd w:id="28"/>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101.INS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740" w:space="580"/>
            <w:col w:w="9840"/>
          </w:cols>
          <w:pgMar w:left="320" w:top="1417" w:right="419" w:bottom="1440" w:gutter="0" w:footer="0" w:header="0"/>
        </w:sectPr>
      </w:pPr>
    </w:p>
    <w:p>
      <w:pPr>
        <w:spacing w:after="0" w:line="47"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compliance with Item 601 of Regulation S-K.</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arrangement.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EyePoint,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S. Duker</w:t>
            </w:r>
          </w:p>
        </w:tc>
      </w:tr>
      <w:tr>
        <w:trPr>
          <w:trHeight w:val="250"/>
        </w:trPr>
        <w:tc>
          <w:tcPr>
            <w:tcW w:w="3440" w:type="dxa"/>
            <w:vAlign w:val="bottom"/>
          </w:tcPr>
          <w:p>
            <w:pPr>
              <w:spacing w:after="0"/>
              <w:rPr>
                <w:sz w:val="21"/>
                <w:szCs w:val="21"/>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Jay S. Duker, M.D.</w:t>
            </w:r>
          </w:p>
        </w:tc>
      </w:tr>
      <w:tr>
        <w:trPr>
          <w:trHeight w:val="257"/>
        </w:trPr>
        <w:tc>
          <w:tcPr>
            <w:tcW w:w="3440" w:type="dxa"/>
            <w:vAlign w:val="bottom"/>
          </w:tcPr>
          <w:p>
            <w:pPr>
              <w:spacing w:after="0"/>
              <w:rPr>
                <w:sz w:val="22"/>
                <w:szCs w:val="22"/>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6"/>
        </w:trPr>
        <w:tc>
          <w:tcPr>
            <w:tcW w:w="34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3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 Elston</w:t>
            </w:r>
          </w:p>
        </w:tc>
      </w:tr>
      <w:tr>
        <w:trPr>
          <w:trHeight w:val="250"/>
        </w:trPr>
        <w:tc>
          <w:tcPr>
            <w:tcW w:w="3440" w:type="dxa"/>
            <w:vAlign w:val="bottom"/>
          </w:tcPr>
          <w:p>
            <w:pPr>
              <w:spacing w:after="0"/>
              <w:rPr>
                <w:sz w:val="21"/>
                <w:szCs w:val="21"/>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George O. Elston</w:t>
            </w:r>
          </w:p>
        </w:tc>
      </w:tr>
      <w:tr>
        <w:trPr>
          <w:trHeight w:val="257"/>
        </w:trPr>
        <w:tc>
          <w:tcPr>
            <w:tcW w:w="3440" w:type="dxa"/>
            <w:vAlign w:val="bottom"/>
          </w:tcPr>
          <w:p>
            <w:pPr>
              <w:spacing w:after="0"/>
              <w:rPr>
                <w:sz w:val="22"/>
                <w:szCs w:val="22"/>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6"/>
        </w:trPr>
        <w:tc>
          <w:tcPr>
            <w:tcW w:w="34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635"/>
        </w:trPr>
        <w:tc>
          <w:tcPr>
            <w:tcW w:w="344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30</w:t>
            </w:r>
          </w:p>
        </w:tc>
        <w:tc>
          <w:tcPr>
            <w:tcW w:w="496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Rule 15d-14(a) of the Securities Exchange Act of 1934,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S. Duker, certify that:</w:t>
      </w:r>
    </w:p>
    <w:p>
      <w:pPr>
        <w:spacing w:after="0" w:line="22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EyePoint,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7, 2026</w:t>
            </w:r>
          </w:p>
        </w:tc>
      </w:tr>
      <w:tr>
        <w:trPr>
          <w:trHeight w:val="540"/>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Jay S. Duker</w:t>
            </w:r>
          </w:p>
        </w:tc>
      </w:t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Jay S. Duker, M.D.</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1303"/>
        </w:trPr>
        <w:tc>
          <w:tcPr>
            <w:tcW w:w="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and Rule 15d-14(a) of the Securities Exchange Act of 1934, as amended.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O. Elston, certify that:</w:t>
      </w:r>
    </w:p>
    <w:p>
      <w:pPr>
        <w:spacing w:after="0" w:line="225"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EyePoint, Inc.;</w:t>
      </w:r>
    </w:p>
    <w:p>
      <w:pPr>
        <w:spacing w:after="0" w:line="225" w:lineRule="exact"/>
        <w:rPr>
          <w:rFonts w:ascii="Times New Roman" w:cs="Times New Roman" w:eastAsia="Times New Roman" w:hAnsi="Times New Roman"/>
          <w:sz w:val="18"/>
          <w:szCs w:val="18"/>
          <w:color w:val="auto"/>
        </w:rPr>
      </w:pPr>
    </w:p>
    <w:p>
      <w:pPr>
        <w:jc w:val="both"/>
        <w:ind w:left="380" w:right="36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4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180" w:hanging="383"/>
        <w:spacing w:after="0" w:line="266" w:lineRule="auto"/>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40" w:hanging="383"/>
        <w:spacing w:after="0" w:line="312" w:lineRule="auto"/>
        <w:tabs>
          <w:tab w:leader="none" w:pos="11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40" w:hanging="383"/>
        <w:spacing w:after="0" w:line="266" w:lineRule="auto"/>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O. Elston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George O. Elston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bl>
    <w:p>
      <w:pPr>
        <w:ind w:left="3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3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EyePoint, Inc. (the “Company”) on Form 10-Q for the quarter ended March 31, 2026, as filed with the Securities and Exchange Commission on the date hereof (the “Report”), I, Jay S. Duker, President and Chief Executive Officer of the Company, certify that to the best of my knowledge:</w:t>
      </w:r>
    </w:p>
    <w:p>
      <w:pPr>
        <w:spacing w:after="0" w:line="135"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7, 2026</w:t>
            </w:r>
          </w:p>
        </w:tc>
      </w:tr>
      <w:tr>
        <w:trPr>
          <w:trHeight w:val="715"/>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Jay S. Duker</w:t>
            </w:r>
          </w:p>
        </w:tc>
      </w:t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Jay S. Duker, M.D.</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1627"/>
        </w:trPr>
        <w:tc>
          <w:tcPr>
            <w:tcW w:w="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3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EyePoint, Inc. (the “Company”) on Form 10-Q for the quarter ended March 31, 2026, as filed with the Securities and Exchange Commission on the date hereof (the “Report”), I, George O. Elston, Chief Financial Officer of the Company, certify that to the best of my knowledge:</w:t>
      </w:r>
    </w:p>
    <w:p>
      <w:pPr>
        <w:spacing w:after="0" w:line="135"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7, 2026</w:t>
            </w:r>
          </w:p>
        </w:tc>
      </w:tr>
      <w:tr>
        <w:trPr>
          <w:trHeight w:val="715"/>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George O. Elston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George O. Elston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bl>
    <w:p>
      <w:pPr>
        <w:ind w:left="3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Roman"/>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43" Type="http://schemas.openxmlformats.org/officeDocument/2006/relationships/hyperlink" Target="https://www.sec.gov/Archives/edgar/data/1314102/000095017023022872/eypt-ex2_1.htm" TargetMode="External"/><Relationship Id="rId244" Type="http://schemas.openxmlformats.org/officeDocument/2006/relationships/hyperlink" Target="https://www.sec.gov/Archives/edgar/data/1314102/000119312508136629/dex31.htm" TargetMode="External"/><Relationship Id="rId245" Type="http://schemas.openxmlformats.org/officeDocument/2006/relationships/hyperlink" Target="https://www.sec.gov/Archives/edgar/data/1314102/000119312517283875/d326107dex32.htm" TargetMode="External"/><Relationship Id="rId246" Type="http://schemas.openxmlformats.org/officeDocument/2006/relationships/hyperlink" Target="https://www.sec.gov/Archives/edgar/data/1314102/000119312518104855/d544168dex31.htm" TargetMode="External"/><Relationship Id="rId247" Type="http://schemas.openxmlformats.org/officeDocument/2006/relationships/hyperlink" Target="https://www.sec.gov/Archives/edgar/data/1314102/000119312518205723/d633682dex31.htm" TargetMode="External"/><Relationship Id="rId248" Type="http://schemas.openxmlformats.org/officeDocument/2006/relationships/hyperlink" Target="https://www.sec.gov/Archives/edgar/data/1314102/000156459020030273/eypt-ex31_9.htm" TargetMode="External"/><Relationship Id="rId249" Type="http://schemas.openxmlformats.org/officeDocument/2006/relationships/hyperlink" Target="https://www.sec.gov/Archives/edgar/data/1314102/000156459020056386/eypt-ex31_9.htm" TargetMode="External"/><Relationship Id="rId250" Type="http://schemas.openxmlformats.org/officeDocument/2006/relationships/hyperlink" Target="https://www.sec.gov/Archives/edgar/data/1314102/000119312525310731/d60563dex31.htm" TargetMode="External"/><Relationship Id="rId251" Type="http://schemas.openxmlformats.org/officeDocument/2006/relationships/hyperlink" Target="https://www.sec.gov/Archives/edgar/data/1314102/000119312518276414/d617568dex35.htm" TargetMode="External"/><Relationship Id="rId252" Type="http://schemas.openxmlformats.org/officeDocument/2006/relationships/hyperlink" Target="https://www.sec.gov/Archives/edgar/data/1314102/000119312518318982/d651294dex31.htm" TargetMode="External"/><Relationship Id="rId253" Type="http://schemas.openxmlformats.org/officeDocument/2006/relationships/hyperlink" Target="https://www.sec.gov/Archives/edgar/data/1314102/000119312525310731/d60563dex32.htm" TargetMode="External"/><Relationship Id="rId254" Type="http://schemas.openxmlformats.org/officeDocument/2006/relationships/hyperlink" Target="https://www.sec.gov/Archives/edgar/data/1314102/000119312508136629/dex41.htm" TargetMode="External"/><Relationship Id="rId255" Type="http://schemas.openxmlformats.org/officeDocument/2006/relationships/hyperlink" Target="https://www.sec.gov/Archives/edgar/data/0001314102/000156459021057763/eypt-ex41_93.htm" TargetMode="External"/><Relationship Id="rId256" Type="http://schemas.openxmlformats.org/officeDocument/2006/relationships/hyperlink" Target="https://www.sec.gov/Archives/edgar/data/1314102/000119312525241639/d98837dex41.htm" TargetMode="External"/><Relationship Id="rId257" Type="http://schemas.openxmlformats.org/officeDocument/2006/relationships/hyperlink" Target="https://www.sec.gov/Archives/edgar/data/1314102/000119312526093917/eypt-ex10_22.htm" TargetMode="External"/><Relationship Id="rId258" Type="http://schemas.openxmlformats.org/officeDocument/2006/relationships/hyperlink" Target="https://www.sec.gov/Archives/edgar/data/1314102/000119312526093917/eypt-ex10_23.htm" TargetMode="External"/><Relationship Id="rId259" Type="http://schemas.openxmlformats.org/officeDocument/2006/relationships/hyperlink" Target="https://www.sec.gov/Archives/edgar/data/1314102/000119312526093917/eypt-ex10_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2026-05-07T15:20:12Z</dcterms:created>
  <dcterms:modified xsi:type="dcterms:W3CDTF">2026-05-07T15:20:12Z</dcterms:modified>
</cp:coreProperties>
</file>